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2A151" w14:textId="4834DE51" w:rsidR="002D08DD" w:rsidRPr="0051066F" w:rsidRDefault="00F624DA" w:rsidP="0074206F">
      <w:pPr>
        <w:pStyle w:val="Salutation"/>
        <w:tabs>
          <w:tab w:val="left" w:pos="4034"/>
        </w:tabs>
        <w:spacing w:before="480"/>
        <w:rPr>
          <w:color w:val="000000" w:themeColor="text1"/>
        </w:rPr>
      </w:pPr>
      <w:r w:rsidRPr="0051066F">
        <w:rPr>
          <w:noProof/>
          <w:color w:val="000000" w:themeColor="text1"/>
          <w:lang w:eastAsia="en-US"/>
        </w:rPr>
        <mc:AlternateContent>
          <mc:Choice Requires="wps">
            <w:drawing>
              <wp:anchor distT="0" distB="0" distL="114300" distR="114300" simplePos="0" relativeHeight="251659264" behindDoc="0" locked="0" layoutInCell="1" allowOverlap="0" wp14:anchorId="56248AB8" wp14:editId="27E7C30C">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12215"/>
                <wp:effectExtent l="0" t="0" r="0" b="6985"/>
                <wp:wrapTopAndBottom/>
                <wp:docPr id="2" name="Text Box 2"/>
                <wp:cNvGraphicFramePr/>
                <a:graphic xmlns:a="http://schemas.openxmlformats.org/drawingml/2006/main">
                  <a:graphicData uri="http://schemas.microsoft.com/office/word/2010/wordprocessingShape">
                    <wps:wsp>
                      <wps:cNvSpPr txBox="1"/>
                      <wps:spPr>
                        <a:xfrm>
                          <a:off x="0" y="0"/>
                          <a:ext cx="6305550" cy="121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5825"/>
                              <w:gridCol w:w="4110"/>
                            </w:tblGrid>
                            <w:tr w:rsidR="002D08DD" w14:paraId="1E0F6AA2" w14:textId="77777777" w:rsidTr="006235EC">
                              <w:trPr>
                                <w:trHeight w:val="142"/>
                              </w:trPr>
                              <w:tc>
                                <w:tcPr>
                                  <w:tcW w:w="3750" w:type="pct"/>
                                </w:tcPr>
                                <w:p w14:paraId="3D159EF0" w14:textId="77777777" w:rsidR="00C05AF6" w:rsidRPr="006235EC" w:rsidRDefault="006235EC">
                                  <w:pPr>
                                    <w:pStyle w:val="Header"/>
                                    <w:rPr>
                                      <w:color w:val="auto"/>
                                    </w:rPr>
                                  </w:pPr>
                                  <w:r w:rsidRPr="006235EC">
                                    <w:rPr>
                                      <w:color w:val="auto"/>
                                    </w:rPr>
                                    <w:t xml:space="preserve">Suite 46 </w:t>
                                  </w:r>
                                  <w:proofErr w:type="spellStart"/>
                                  <w:r w:rsidRPr="006235EC">
                                    <w:rPr>
                                      <w:color w:val="auto"/>
                                    </w:rPr>
                                    <w:t>Hindon</w:t>
                                  </w:r>
                                  <w:proofErr w:type="spellEnd"/>
                                  <w:r w:rsidRPr="006235EC">
                                    <w:rPr>
                                      <w:color w:val="auto"/>
                                    </w:rPr>
                                    <w:t xml:space="preserve"> Court</w:t>
                                  </w:r>
                                  <w:r w:rsidR="00C05AF6" w:rsidRPr="006235EC">
                                    <w:rPr>
                                      <w:color w:val="auto"/>
                                    </w:rPr>
                                    <w:t xml:space="preserve"> </w:t>
                                  </w:r>
                                </w:p>
                                <w:p w14:paraId="017F30BD" w14:textId="77777777" w:rsidR="006235EC" w:rsidRPr="006235EC" w:rsidRDefault="00C05AF6" w:rsidP="00C05AF6">
                                  <w:pPr>
                                    <w:pStyle w:val="Header"/>
                                    <w:rPr>
                                      <w:color w:val="auto"/>
                                    </w:rPr>
                                  </w:pPr>
                                  <w:r w:rsidRPr="006235EC">
                                    <w:rPr>
                                      <w:color w:val="auto"/>
                                    </w:rPr>
                                    <w:t xml:space="preserve">104 Wilton Road </w:t>
                                  </w:r>
                                </w:p>
                                <w:p w14:paraId="077D6415" w14:textId="77777777" w:rsidR="006235EC" w:rsidRPr="006235EC" w:rsidRDefault="00C05AF6" w:rsidP="00C05AF6">
                                  <w:pPr>
                                    <w:pStyle w:val="Header"/>
                                    <w:rPr>
                                      <w:color w:val="auto"/>
                                    </w:rPr>
                                  </w:pPr>
                                  <w:r w:rsidRPr="006235EC">
                                    <w:rPr>
                                      <w:color w:val="auto"/>
                                    </w:rPr>
                                    <w:t xml:space="preserve">London </w:t>
                                  </w:r>
                                </w:p>
                                <w:p w14:paraId="70752D8E" w14:textId="77777777" w:rsidR="006235EC" w:rsidRPr="006235EC" w:rsidRDefault="00C05AF6" w:rsidP="00C05AF6">
                                  <w:pPr>
                                    <w:pStyle w:val="Header"/>
                                    <w:rPr>
                                      <w:color w:val="auto"/>
                                    </w:rPr>
                                  </w:pPr>
                                  <w:r w:rsidRPr="006235EC">
                                    <w:rPr>
                                      <w:color w:val="auto"/>
                                    </w:rPr>
                                    <w:t xml:space="preserve">SW1V 1DU </w:t>
                                  </w:r>
                                </w:p>
                                <w:p w14:paraId="5A618134" w14:textId="77777777" w:rsidR="006539D2" w:rsidRPr="006235EC" w:rsidRDefault="00C05AF6" w:rsidP="00C05AF6">
                                  <w:pPr>
                                    <w:pStyle w:val="Header"/>
                                    <w:rPr>
                                      <w:color w:val="auto"/>
                                    </w:rPr>
                                  </w:pPr>
                                  <w:r w:rsidRPr="006235EC">
                                    <w:rPr>
                                      <w:color w:val="auto"/>
                                    </w:rPr>
                                    <w:t>UNITED KINGDO</w:t>
                                  </w:r>
                                  <w:r w:rsidR="006235EC" w:rsidRPr="006235EC">
                                    <w:rPr>
                                      <w:color w:val="auto"/>
                                    </w:rPr>
                                    <w:t>M</w:t>
                                  </w:r>
                                </w:p>
                                <w:p w14:paraId="672E5706" w14:textId="77777777" w:rsidR="002D08DD" w:rsidRDefault="006539D2" w:rsidP="006235EC">
                                  <w:pPr>
                                    <w:pStyle w:val="Header"/>
                                  </w:pPr>
                                  <w:r w:rsidRPr="006235EC">
                                    <w:rPr>
                                      <w:color w:val="auto"/>
                                    </w:rPr>
                                    <w:t>www.</w:t>
                                  </w:r>
                                  <w:r w:rsidR="006235EC" w:rsidRPr="006235EC">
                                    <w:rPr>
                                      <w:color w:val="auto"/>
                                    </w:rPr>
                                    <w:t>tbpeople.org.uk</w:t>
                                  </w:r>
                                </w:p>
                              </w:tc>
                              <w:tc>
                                <w:tcPr>
                                  <w:tcW w:w="1250" w:type="pct"/>
                                </w:tcPr>
                                <w:p w14:paraId="77CD67AE" w14:textId="77777777" w:rsidR="002D08DD" w:rsidRDefault="00F624DA">
                                  <w:pPr>
                                    <w:pStyle w:val="Header"/>
                                    <w:jc w:val="right"/>
                                  </w:pPr>
                                  <w:r>
                                    <w:rPr>
                                      <w:noProof/>
                                      <w:lang w:eastAsia="en-US"/>
                                    </w:rPr>
                                    <w:drawing>
                                      <wp:inline distT="0" distB="0" distL="0" distR="0" wp14:anchorId="37A9E1E5" wp14:editId="0B4BE304">
                                        <wp:extent cx="2606836" cy="68004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6836" cy="680044"/>
                                                </a:xfrm>
                                                <a:prstGeom prst="rect">
                                                  <a:avLst/>
                                                </a:prstGeom>
                                                <a:noFill/>
                                                <a:ln>
                                                  <a:noFill/>
                                                </a:ln>
                                              </pic:spPr>
                                            </pic:pic>
                                          </a:graphicData>
                                        </a:graphic>
                                      </wp:inline>
                                    </w:drawing>
                                  </w:r>
                                </w:p>
                              </w:tc>
                            </w:tr>
                          </w:tbl>
                          <w:p w14:paraId="507A9C65" w14:textId="77777777" w:rsidR="002D08DD" w:rsidRDefault="002D08DD" w:rsidP="009F7D5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6248AB8" id="_x0000_t202" coordsize="21600,21600" o:spt="202" path="m,l,21600r21600,l21600,xe">
                <v:stroke joinstyle="miter"/>
                <v:path gradientshapeok="t" o:connecttype="rect"/>
              </v:shapetype>
              <v:shape id="Text Box 2" o:spid="_x0000_s1026" type="#_x0000_t202" style="position:absolute;margin-left:0;margin-top:0;width:496.5pt;height:95.45pt;z-index:251659264;visibility:visible;mso-wrap-style:square;mso-width-percent:1000;mso-height-percent:0;mso-top-percent:50;mso-wrap-distance-left:9pt;mso-wrap-distance-top:0;mso-wrap-distance-right:9pt;mso-wrap-distance-bottom:0;mso-position-horizontal:center;mso-position-horizontal-relative:margin;mso-position-vertical-relative:page;mso-width-percent:100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5825"/>
                        <w:gridCol w:w="4110"/>
                      </w:tblGrid>
                      <w:tr w:rsidR="002D08DD" w14:paraId="1E0F6AA2" w14:textId="77777777" w:rsidTr="006235EC">
                        <w:trPr>
                          <w:trHeight w:val="142"/>
                        </w:trPr>
                        <w:tc>
                          <w:tcPr>
                            <w:tcW w:w="3750" w:type="pct"/>
                          </w:tcPr>
                          <w:p w14:paraId="3D159EF0" w14:textId="77777777" w:rsidR="00C05AF6" w:rsidRPr="006235EC" w:rsidRDefault="006235EC">
                            <w:pPr>
                              <w:pStyle w:val="Header"/>
                              <w:rPr>
                                <w:color w:val="auto"/>
                              </w:rPr>
                            </w:pPr>
                            <w:r w:rsidRPr="006235EC">
                              <w:rPr>
                                <w:color w:val="auto"/>
                              </w:rPr>
                              <w:t xml:space="preserve">Suite 46 </w:t>
                            </w:r>
                            <w:proofErr w:type="spellStart"/>
                            <w:r w:rsidRPr="006235EC">
                              <w:rPr>
                                <w:color w:val="auto"/>
                              </w:rPr>
                              <w:t>Hindon</w:t>
                            </w:r>
                            <w:proofErr w:type="spellEnd"/>
                            <w:r w:rsidRPr="006235EC">
                              <w:rPr>
                                <w:color w:val="auto"/>
                              </w:rPr>
                              <w:t xml:space="preserve"> Court</w:t>
                            </w:r>
                            <w:r w:rsidR="00C05AF6" w:rsidRPr="006235EC">
                              <w:rPr>
                                <w:color w:val="auto"/>
                              </w:rPr>
                              <w:t xml:space="preserve"> </w:t>
                            </w:r>
                          </w:p>
                          <w:p w14:paraId="017F30BD" w14:textId="77777777" w:rsidR="006235EC" w:rsidRPr="006235EC" w:rsidRDefault="00C05AF6" w:rsidP="00C05AF6">
                            <w:pPr>
                              <w:pStyle w:val="Header"/>
                              <w:rPr>
                                <w:color w:val="auto"/>
                              </w:rPr>
                            </w:pPr>
                            <w:r w:rsidRPr="006235EC">
                              <w:rPr>
                                <w:color w:val="auto"/>
                              </w:rPr>
                              <w:t xml:space="preserve">104 Wilton Road </w:t>
                            </w:r>
                          </w:p>
                          <w:p w14:paraId="077D6415" w14:textId="77777777" w:rsidR="006235EC" w:rsidRPr="006235EC" w:rsidRDefault="00C05AF6" w:rsidP="00C05AF6">
                            <w:pPr>
                              <w:pStyle w:val="Header"/>
                              <w:rPr>
                                <w:color w:val="auto"/>
                              </w:rPr>
                            </w:pPr>
                            <w:r w:rsidRPr="006235EC">
                              <w:rPr>
                                <w:color w:val="auto"/>
                              </w:rPr>
                              <w:t xml:space="preserve">London </w:t>
                            </w:r>
                          </w:p>
                          <w:p w14:paraId="70752D8E" w14:textId="77777777" w:rsidR="006235EC" w:rsidRPr="006235EC" w:rsidRDefault="00C05AF6" w:rsidP="00C05AF6">
                            <w:pPr>
                              <w:pStyle w:val="Header"/>
                              <w:rPr>
                                <w:color w:val="auto"/>
                              </w:rPr>
                            </w:pPr>
                            <w:r w:rsidRPr="006235EC">
                              <w:rPr>
                                <w:color w:val="auto"/>
                              </w:rPr>
                              <w:t xml:space="preserve">SW1V 1DU </w:t>
                            </w:r>
                          </w:p>
                          <w:p w14:paraId="5A618134" w14:textId="77777777" w:rsidR="006539D2" w:rsidRPr="006235EC" w:rsidRDefault="00C05AF6" w:rsidP="00C05AF6">
                            <w:pPr>
                              <w:pStyle w:val="Header"/>
                              <w:rPr>
                                <w:color w:val="auto"/>
                              </w:rPr>
                            </w:pPr>
                            <w:r w:rsidRPr="006235EC">
                              <w:rPr>
                                <w:color w:val="auto"/>
                              </w:rPr>
                              <w:t>UNITED KINGDO</w:t>
                            </w:r>
                            <w:r w:rsidR="006235EC" w:rsidRPr="006235EC">
                              <w:rPr>
                                <w:color w:val="auto"/>
                              </w:rPr>
                              <w:t>M</w:t>
                            </w:r>
                          </w:p>
                          <w:p w14:paraId="672E5706" w14:textId="77777777" w:rsidR="002D08DD" w:rsidRDefault="006539D2" w:rsidP="006235EC">
                            <w:pPr>
                              <w:pStyle w:val="Header"/>
                            </w:pPr>
                            <w:r w:rsidRPr="006235EC">
                              <w:rPr>
                                <w:color w:val="auto"/>
                              </w:rPr>
                              <w:t>www.</w:t>
                            </w:r>
                            <w:r w:rsidR="006235EC" w:rsidRPr="006235EC">
                              <w:rPr>
                                <w:color w:val="auto"/>
                              </w:rPr>
                              <w:t>tbpeople.org.uk</w:t>
                            </w:r>
                          </w:p>
                        </w:tc>
                        <w:tc>
                          <w:tcPr>
                            <w:tcW w:w="1250" w:type="pct"/>
                          </w:tcPr>
                          <w:p w14:paraId="77CD67AE" w14:textId="77777777" w:rsidR="002D08DD" w:rsidRDefault="00F624DA">
                            <w:pPr>
                              <w:pStyle w:val="Header"/>
                              <w:jc w:val="right"/>
                            </w:pPr>
                            <w:r>
                              <w:rPr>
                                <w:noProof/>
                                <w:lang w:eastAsia="en-US"/>
                              </w:rPr>
                              <w:drawing>
                                <wp:inline distT="0" distB="0" distL="0" distR="0" wp14:anchorId="37A9E1E5" wp14:editId="0B4BE304">
                                  <wp:extent cx="2606836" cy="68004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6836" cy="680044"/>
                                          </a:xfrm>
                                          <a:prstGeom prst="rect">
                                            <a:avLst/>
                                          </a:prstGeom>
                                          <a:noFill/>
                                          <a:ln>
                                            <a:noFill/>
                                          </a:ln>
                                        </pic:spPr>
                                      </pic:pic>
                                    </a:graphicData>
                                  </a:graphic>
                                </wp:inline>
                              </w:drawing>
                            </w:r>
                          </w:p>
                        </w:tc>
                      </w:tr>
                    </w:tbl>
                    <w:p w14:paraId="507A9C65" w14:textId="77777777" w:rsidR="002D08DD" w:rsidRDefault="002D08DD" w:rsidP="009F7D5C"/>
                  </w:txbxContent>
                </v:textbox>
                <w10:wrap type="topAndBottom" anchorx="margin" anchory="page"/>
              </v:shape>
            </w:pict>
          </mc:Fallback>
        </mc:AlternateContent>
      </w:r>
      <w:sdt>
        <w:sdtPr>
          <w:rPr>
            <w:color w:val="000000" w:themeColor="text1"/>
          </w:rPr>
          <w:id w:val="1090121960"/>
          <w:placeholder>
            <w:docPart w:val="E8830C688B834F29A3C2C7E7C66A67AA"/>
          </w:placeholder>
          <w:date w:fullDate="2020-09-11T00:00:00Z">
            <w:dateFormat w:val="MMMM d, yyyy"/>
            <w:lid w:val="en-US"/>
            <w:storeMappedDataAs w:val="dateTime"/>
            <w:calendar w:val="gregorian"/>
          </w:date>
        </w:sdtPr>
        <w:sdtEndPr/>
        <w:sdtContent>
          <w:r w:rsidR="009746CC">
            <w:rPr>
              <w:color w:val="000000" w:themeColor="text1"/>
            </w:rPr>
            <w:t>September 11, 2020</w:t>
          </w:r>
        </w:sdtContent>
      </w:sdt>
      <w:r w:rsidR="0074206F" w:rsidRPr="0051066F">
        <w:rPr>
          <w:color w:val="000000" w:themeColor="text1"/>
        </w:rPr>
        <w:tab/>
      </w:r>
    </w:p>
    <w:p w14:paraId="01325A83" w14:textId="77777777" w:rsidR="0051066F" w:rsidRDefault="0051066F" w:rsidP="0051066F">
      <w:pPr>
        <w:jc w:val="center"/>
        <w:rPr>
          <w:rFonts w:ascii="Cambria" w:hAnsi="Cambria"/>
          <w:b/>
          <w:smallCaps/>
          <w:color w:val="000000" w:themeColor="text1"/>
        </w:rPr>
      </w:pPr>
    </w:p>
    <w:p w14:paraId="00BFBB06" w14:textId="77777777" w:rsidR="00862577" w:rsidRDefault="00862577" w:rsidP="00862577">
      <w:pPr>
        <w:jc w:val="center"/>
        <w:rPr>
          <w:rFonts w:ascii="Cambria" w:hAnsi="Cambria"/>
          <w:b/>
        </w:rPr>
      </w:pPr>
      <w:r>
        <w:rPr>
          <w:rFonts w:ascii="Cambria" w:hAnsi="Cambria"/>
          <w:b/>
        </w:rPr>
        <w:t>PROJECT: CFCS 2020</w:t>
      </w:r>
    </w:p>
    <w:p w14:paraId="56768821" w14:textId="77777777" w:rsidR="00862577" w:rsidRDefault="00862577" w:rsidP="00862577">
      <w:pPr>
        <w:jc w:val="center"/>
        <w:rPr>
          <w:rFonts w:ascii="Cambria" w:hAnsi="Cambria"/>
          <w:b/>
        </w:rPr>
      </w:pPr>
    </w:p>
    <w:p w14:paraId="53ED8943" w14:textId="77777777" w:rsidR="00391223" w:rsidRDefault="00862577" w:rsidP="00862577">
      <w:pPr>
        <w:jc w:val="center"/>
        <w:rPr>
          <w:rFonts w:ascii="Cambria" w:hAnsi="Cambria"/>
          <w:b/>
        </w:rPr>
      </w:pPr>
      <w:r w:rsidRPr="00AB3CF8">
        <w:rPr>
          <w:rFonts w:ascii="Cambria" w:hAnsi="Cambria"/>
          <w:b/>
        </w:rPr>
        <w:t>Intervention 2.3</w:t>
      </w:r>
      <w:r>
        <w:rPr>
          <w:rFonts w:ascii="Cambria" w:hAnsi="Cambria"/>
          <w:b/>
        </w:rPr>
        <w:t>.</w:t>
      </w:r>
      <w:r w:rsidRPr="00AB3CF8">
        <w:rPr>
          <w:rFonts w:ascii="Cambria" w:hAnsi="Cambria"/>
          <w:b/>
        </w:rPr>
        <w:t xml:space="preserve"> Development of INPUD-</w:t>
      </w:r>
      <w:proofErr w:type="spellStart"/>
      <w:r w:rsidRPr="00AB3CF8">
        <w:rPr>
          <w:rFonts w:ascii="Cambria" w:hAnsi="Cambria"/>
          <w:b/>
        </w:rPr>
        <w:t>TBpeople</w:t>
      </w:r>
      <w:proofErr w:type="spellEnd"/>
      <w:r w:rsidRPr="00AB3CF8">
        <w:rPr>
          <w:rFonts w:ascii="Cambria" w:hAnsi="Cambria"/>
          <w:b/>
        </w:rPr>
        <w:t xml:space="preserve"> joint position paper on TB </w:t>
      </w:r>
    </w:p>
    <w:p w14:paraId="1C51479D" w14:textId="018484F6" w:rsidR="00862577" w:rsidRPr="00A46EC9" w:rsidRDefault="00862577" w:rsidP="00862577">
      <w:pPr>
        <w:jc w:val="center"/>
        <w:rPr>
          <w:rFonts w:ascii="Cambria" w:hAnsi="Cambria"/>
          <w:b/>
        </w:rPr>
      </w:pPr>
      <w:r w:rsidRPr="00AB3CF8">
        <w:rPr>
          <w:rFonts w:ascii="Cambria" w:hAnsi="Cambria"/>
          <w:b/>
        </w:rPr>
        <w:t>among people who use drugs</w:t>
      </w:r>
    </w:p>
    <w:p w14:paraId="6AB54FAC" w14:textId="77777777" w:rsidR="00822DDA" w:rsidRPr="007A6182" w:rsidRDefault="00822DDA" w:rsidP="00822DDA">
      <w:pPr>
        <w:jc w:val="center"/>
        <w:rPr>
          <w:rFonts w:ascii="Cambria" w:hAnsi="Cambria"/>
          <w:b/>
        </w:rPr>
      </w:pPr>
    </w:p>
    <w:p w14:paraId="16B0C91E" w14:textId="77777777" w:rsidR="00E04F1D" w:rsidRPr="007A6182" w:rsidRDefault="00822DDA" w:rsidP="00822DDA">
      <w:pPr>
        <w:jc w:val="center"/>
        <w:rPr>
          <w:rFonts w:ascii="Cambria" w:hAnsi="Cambria"/>
          <w:b/>
        </w:rPr>
      </w:pPr>
      <w:r w:rsidRPr="007A6182">
        <w:rPr>
          <w:rFonts w:ascii="Cambria" w:hAnsi="Cambria"/>
          <w:b/>
        </w:rPr>
        <w:t>TERMS OF REFERENCE</w:t>
      </w:r>
    </w:p>
    <w:p w14:paraId="3D791D02" w14:textId="1276F7FE" w:rsidR="00822DDA" w:rsidRPr="007A6182" w:rsidRDefault="00AB1495" w:rsidP="00822DDA">
      <w:pPr>
        <w:jc w:val="center"/>
        <w:rPr>
          <w:rFonts w:ascii="Cambria" w:hAnsi="Cambria"/>
          <w:b/>
        </w:rPr>
      </w:pPr>
      <w:r>
        <w:rPr>
          <w:rFonts w:ascii="Cambria" w:hAnsi="Cambria"/>
          <w:b/>
        </w:rPr>
        <w:t>REGIONAL FOCAL POINT</w:t>
      </w:r>
      <w:r w:rsidR="003D77E1">
        <w:rPr>
          <w:rFonts w:ascii="Cambria" w:hAnsi="Cambria"/>
          <w:b/>
        </w:rPr>
        <w:t>S</w:t>
      </w:r>
      <w:r>
        <w:rPr>
          <w:rFonts w:ascii="Cambria" w:hAnsi="Cambria"/>
          <w:b/>
        </w:rPr>
        <w:t xml:space="preserve"> </w:t>
      </w:r>
      <w:r w:rsidR="00227050">
        <w:rPr>
          <w:rFonts w:ascii="Cambria" w:hAnsi="Cambria"/>
          <w:b/>
        </w:rPr>
        <w:t>(</w:t>
      </w:r>
      <w:r w:rsidR="003D77E1" w:rsidRPr="003D77E1">
        <w:rPr>
          <w:rFonts w:ascii="Cambria" w:hAnsi="Cambria"/>
          <w:b/>
        </w:rPr>
        <w:t xml:space="preserve">SIX </w:t>
      </w:r>
      <w:r w:rsidRPr="003D77E1">
        <w:rPr>
          <w:rFonts w:ascii="Cambria" w:hAnsi="Cambria"/>
          <w:b/>
        </w:rPr>
        <w:t>REGION</w:t>
      </w:r>
      <w:r w:rsidR="003D77E1" w:rsidRPr="003D77E1">
        <w:rPr>
          <w:rFonts w:ascii="Cambria" w:hAnsi="Cambria"/>
          <w:b/>
        </w:rPr>
        <w:t>S</w:t>
      </w:r>
      <w:r w:rsidR="00227050">
        <w:rPr>
          <w:rFonts w:ascii="Cambria" w:hAnsi="Cambria"/>
          <w:b/>
        </w:rPr>
        <w:t>)</w:t>
      </w:r>
    </w:p>
    <w:p w14:paraId="6A5AAE37" w14:textId="77777777" w:rsidR="00822DDA" w:rsidRPr="007A6182" w:rsidRDefault="00822DDA" w:rsidP="00822DDA">
      <w:pPr>
        <w:rPr>
          <w:rFonts w:ascii="Cambria" w:hAnsi="Cambria"/>
        </w:rPr>
      </w:pPr>
    </w:p>
    <w:p w14:paraId="33DA61AD" w14:textId="77777777" w:rsidR="00822DDA" w:rsidRPr="007A6182" w:rsidRDefault="00822DDA" w:rsidP="00822DDA">
      <w:pPr>
        <w:rPr>
          <w:rFonts w:ascii="Cambria" w:hAnsi="Cambria"/>
          <w:b/>
          <w:sz w:val="22"/>
          <w:szCs w:val="22"/>
        </w:rPr>
      </w:pPr>
      <w:r w:rsidRPr="007A6182">
        <w:rPr>
          <w:rFonts w:ascii="Cambria" w:hAnsi="Cambria"/>
          <w:b/>
          <w:sz w:val="22"/>
          <w:szCs w:val="22"/>
        </w:rPr>
        <w:t>Background</w:t>
      </w:r>
    </w:p>
    <w:p w14:paraId="5BE200B0" w14:textId="447D13F7" w:rsidR="00822DDA" w:rsidRPr="007A6182" w:rsidRDefault="00822DDA" w:rsidP="00822DDA">
      <w:pPr>
        <w:rPr>
          <w:rFonts w:ascii="Cambria" w:hAnsi="Cambria"/>
          <w:sz w:val="22"/>
          <w:szCs w:val="22"/>
        </w:rPr>
      </w:pPr>
    </w:p>
    <w:p w14:paraId="784AB2B5" w14:textId="4FB9FC8D" w:rsidR="005A2A8E" w:rsidRPr="007A6182" w:rsidRDefault="005A2A8E" w:rsidP="005A2A8E">
      <w:pPr>
        <w:rPr>
          <w:rFonts w:ascii="Cambria" w:hAnsi="Cambria"/>
          <w:color w:val="000000" w:themeColor="text1"/>
          <w:sz w:val="22"/>
          <w:szCs w:val="22"/>
        </w:rPr>
      </w:pPr>
      <w:r w:rsidRPr="007A6182">
        <w:rPr>
          <w:rFonts w:ascii="Cambria" w:hAnsi="Cambria"/>
          <w:sz w:val="22"/>
          <w:szCs w:val="22"/>
        </w:rPr>
        <w:t xml:space="preserve">In line with the Memorandum of Understanding, signed between INPUD, </w:t>
      </w:r>
      <w:r w:rsidR="00302431">
        <w:rPr>
          <w:rFonts w:ascii="Cambria" w:hAnsi="Cambria"/>
          <w:sz w:val="22"/>
          <w:szCs w:val="22"/>
        </w:rPr>
        <w:t xml:space="preserve">the </w:t>
      </w:r>
      <w:r w:rsidRPr="007A6182">
        <w:rPr>
          <w:rFonts w:ascii="Cambria" w:hAnsi="Cambria"/>
          <w:sz w:val="22"/>
          <w:szCs w:val="22"/>
        </w:rPr>
        <w:t xml:space="preserve">International Network of People who Use Drugs, and </w:t>
      </w:r>
      <w:proofErr w:type="spellStart"/>
      <w:r w:rsidRPr="007A6182">
        <w:rPr>
          <w:rFonts w:ascii="Cambria" w:hAnsi="Cambria"/>
          <w:sz w:val="22"/>
          <w:szCs w:val="22"/>
        </w:rPr>
        <w:t>TB</w:t>
      </w:r>
      <w:r w:rsidR="009D36E8" w:rsidRPr="007A6182">
        <w:rPr>
          <w:rFonts w:ascii="Cambria" w:hAnsi="Cambria"/>
          <w:sz w:val="22"/>
          <w:szCs w:val="22"/>
        </w:rPr>
        <w:t>people</w:t>
      </w:r>
      <w:proofErr w:type="spellEnd"/>
      <w:r w:rsidRPr="007A6182">
        <w:rPr>
          <w:rFonts w:ascii="Cambria" w:hAnsi="Cambria"/>
          <w:sz w:val="22"/>
          <w:szCs w:val="22"/>
        </w:rPr>
        <w:t xml:space="preserve">, the global network of people affected by tuberculosis (TB), the two networks committed to </w:t>
      </w:r>
      <w:r w:rsidRPr="007A6182">
        <w:rPr>
          <w:rFonts w:ascii="Cambria" w:hAnsi="Cambria"/>
          <w:i/>
          <w:sz w:val="22"/>
          <w:szCs w:val="22"/>
        </w:rPr>
        <w:t>“collaborate on raising the profile of the problem of TB among people who use drugs including the impact of prohibition and systematic discrimination of people who use drug to regard to the promotion of integrated people-centered services for people who use drugs and are affected by TB”</w:t>
      </w:r>
      <w:r w:rsidRPr="007A6182">
        <w:rPr>
          <w:rFonts w:ascii="Cambria" w:hAnsi="Cambria"/>
          <w:sz w:val="22"/>
          <w:szCs w:val="22"/>
        </w:rPr>
        <w:t>. As a first step, the two networks agreed to develop a joint position paper on TB among people who use drugs, which will lay the foundation for future advocacy and programs.</w:t>
      </w:r>
    </w:p>
    <w:p w14:paraId="64B6C1B6" w14:textId="77777777" w:rsidR="005A2A8E" w:rsidRPr="007A6182" w:rsidRDefault="005A2A8E" w:rsidP="005A2A8E">
      <w:pPr>
        <w:rPr>
          <w:rFonts w:ascii="Cambria" w:hAnsi="Cambria"/>
          <w:color w:val="000000" w:themeColor="text1"/>
          <w:sz w:val="22"/>
          <w:szCs w:val="22"/>
        </w:rPr>
      </w:pPr>
    </w:p>
    <w:p w14:paraId="52325BFA" w14:textId="77777777" w:rsidR="005A2A8E" w:rsidRPr="007A6182" w:rsidRDefault="005A2A8E" w:rsidP="005A2A8E">
      <w:pPr>
        <w:jc w:val="both"/>
        <w:rPr>
          <w:rFonts w:ascii="Cambria" w:hAnsi="Cambria"/>
          <w:sz w:val="22"/>
          <w:szCs w:val="22"/>
        </w:rPr>
      </w:pPr>
      <w:r w:rsidRPr="007A6182">
        <w:rPr>
          <w:rFonts w:ascii="Cambria" w:hAnsi="Cambria"/>
          <w:sz w:val="22"/>
          <w:szCs w:val="22"/>
        </w:rPr>
        <w:t>The joint position paper on TB among people who use drugs (position paper) will:</w:t>
      </w:r>
    </w:p>
    <w:p w14:paraId="70FF5F22" w14:textId="77777777" w:rsidR="005A2A8E" w:rsidRPr="007A6182" w:rsidRDefault="005A2A8E" w:rsidP="005A2A8E">
      <w:pPr>
        <w:pStyle w:val="ListParagraph"/>
        <w:numPr>
          <w:ilvl w:val="0"/>
          <w:numId w:val="4"/>
        </w:numPr>
        <w:spacing w:after="160" w:line="259" w:lineRule="auto"/>
        <w:jc w:val="both"/>
        <w:rPr>
          <w:rFonts w:ascii="Cambria" w:hAnsi="Cambria"/>
          <w:sz w:val="22"/>
          <w:szCs w:val="22"/>
        </w:rPr>
      </w:pPr>
      <w:r w:rsidRPr="007A6182">
        <w:rPr>
          <w:rFonts w:ascii="Cambria" w:hAnsi="Cambria"/>
          <w:sz w:val="22"/>
          <w:szCs w:val="22"/>
        </w:rPr>
        <w:t xml:space="preserve">be based on existing literature on TB among people who use drugs </w:t>
      </w:r>
    </w:p>
    <w:p w14:paraId="0FF188FA" w14:textId="77777777" w:rsidR="005A2A8E" w:rsidRPr="007A6182" w:rsidRDefault="005A2A8E" w:rsidP="005A2A8E">
      <w:pPr>
        <w:pStyle w:val="ListParagraph"/>
        <w:numPr>
          <w:ilvl w:val="0"/>
          <w:numId w:val="4"/>
        </w:numPr>
        <w:spacing w:after="160" w:line="259" w:lineRule="auto"/>
        <w:jc w:val="both"/>
        <w:rPr>
          <w:rFonts w:ascii="Cambria" w:hAnsi="Cambria"/>
          <w:sz w:val="22"/>
          <w:szCs w:val="22"/>
        </w:rPr>
      </w:pPr>
      <w:r w:rsidRPr="007A6182">
        <w:rPr>
          <w:rFonts w:ascii="Cambria" w:hAnsi="Cambria"/>
          <w:sz w:val="22"/>
          <w:szCs w:val="22"/>
        </w:rPr>
        <w:t>highlight current knowledge and data and research gaps and explore the link between poverty, social exclusion, and stigma at the intersection between drug use and TB, and the multiplier effect of drug prohibition</w:t>
      </w:r>
    </w:p>
    <w:p w14:paraId="40208868" w14:textId="77777777" w:rsidR="005A2A8E" w:rsidRPr="007A6182" w:rsidRDefault="005A2A8E" w:rsidP="005A2A8E">
      <w:pPr>
        <w:pStyle w:val="ListParagraph"/>
        <w:numPr>
          <w:ilvl w:val="0"/>
          <w:numId w:val="4"/>
        </w:numPr>
        <w:spacing w:after="160" w:line="259" w:lineRule="auto"/>
        <w:jc w:val="both"/>
        <w:rPr>
          <w:rFonts w:ascii="Cambria" w:hAnsi="Cambria"/>
          <w:sz w:val="22"/>
          <w:szCs w:val="22"/>
        </w:rPr>
      </w:pPr>
      <w:r w:rsidRPr="007A6182">
        <w:rPr>
          <w:rFonts w:ascii="Cambria" w:hAnsi="Cambria"/>
          <w:sz w:val="22"/>
          <w:szCs w:val="22"/>
        </w:rPr>
        <w:t xml:space="preserve">outline integrated people-centered services for TB prevention, diagnosis, treatment, </w:t>
      </w:r>
      <w:proofErr w:type="gramStart"/>
      <w:r w:rsidRPr="007A6182">
        <w:rPr>
          <w:rFonts w:ascii="Cambria" w:hAnsi="Cambria"/>
          <w:sz w:val="22"/>
          <w:szCs w:val="22"/>
        </w:rPr>
        <w:t>care</w:t>
      </w:r>
      <w:proofErr w:type="gramEnd"/>
      <w:r w:rsidRPr="007A6182">
        <w:rPr>
          <w:rFonts w:ascii="Cambria" w:hAnsi="Cambria"/>
          <w:sz w:val="22"/>
          <w:szCs w:val="22"/>
        </w:rPr>
        <w:t xml:space="preserve"> and support for people who use drugs</w:t>
      </w:r>
    </w:p>
    <w:p w14:paraId="3B1DD05A" w14:textId="77777777" w:rsidR="005A2A8E" w:rsidRPr="007A6182" w:rsidRDefault="005A2A8E" w:rsidP="005A2A8E">
      <w:pPr>
        <w:pStyle w:val="ListParagraph"/>
        <w:numPr>
          <w:ilvl w:val="0"/>
          <w:numId w:val="4"/>
        </w:numPr>
        <w:spacing w:after="160" w:line="259" w:lineRule="auto"/>
        <w:jc w:val="both"/>
        <w:rPr>
          <w:rFonts w:ascii="Cambria" w:hAnsi="Cambria"/>
          <w:sz w:val="22"/>
          <w:szCs w:val="22"/>
        </w:rPr>
      </w:pPr>
      <w:r w:rsidRPr="007A6182">
        <w:rPr>
          <w:rFonts w:ascii="Cambria" w:hAnsi="Cambria"/>
          <w:sz w:val="22"/>
          <w:szCs w:val="22"/>
        </w:rPr>
        <w:t xml:space="preserve">identify advocacy and programmatic priorities for the two networks, their </w:t>
      </w:r>
      <w:proofErr w:type="gramStart"/>
      <w:r w:rsidRPr="007A6182">
        <w:rPr>
          <w:rFonts w:ascii="Cambria" w:hAnsi="Cambria"/>
          <w:sz w:val="22"/>
          <w:szCs w:val="22"/>
        </w:rPr>
        <w:t>members</w:t>
      </w:r>
      <w:proofErr w:type="gramEnd"/>
      <w:r w:rsidRPr="007A6182">
        <w:rPr>
          <w:rFonts w:ascii="Cambria" w:hAnsi="Cambria"/>
          <w:sz w:val="22"/>
          <w:szCs w:val="22"/>
        </w:rPr>
        <w:t xml:space="preserve"> and partners</w:t>
      </w:r>
    </w:p>
    <w:p w14:paraId="683FCCB1" w14:textId="77777777" w:rsidR="00685C2C" w:rsidRPr="007A6182" w:rsidRDefault="005A2A8E" w:rsidP="005A2A8E">
      <w:pPr>
        <w:jc w:val="both"/>
        <w:rPr>
          <w:rFonts w:ascii="Cambria" w:hAnsi="Cambria"/>
          <w:sz w:val="22"/>
          <w:szCs w:val="22"/>
        </w:rPr>
      </w:pPr>
      <w:r w:rsidRPr="007A6182">
        <w:rPr>
          <w:rFonts w:ascii="Cambria" w:hAnsi="Cambria"/>
          <w:sz w:val="22"/>
          <w:szCs w:val="22"/>
        </w:rPr>
        <w:t xml:space="preserve">To develop the position paper, a working group (WG) was established consisting of focal points of the two networks, acting as working group co-chairs, and up to eight members of the two networks from among people who use drugs and who are affected by TB (i.e. who have had TB or whose close one(s) had TB). The JWG has produced a first draft of the joint position paper. </w:t>
      </w:r>
    </w:p>
    <w:p w14:paraId="7D07AC8F" w14:textId="77777777" w:rsidR="00685C2C" w:rsidRPr="007A6182" w:rsidRDefault="00685C2C" w:rsidP="005A2A8E">
      <w:pPr>
        <w:jc w:val="both"/>
        <w:rPr>
          <w:rFonts w:ascii="Cambria" w:hAnsi="Cambria"/>
          <w:sz w:val="22"/>
          <w:szCs w:val="22"/>
        </w:rPr>
      </w:pPr>
    </w:p>
    <w:p w14:paraId="00F110D4" w14:textId="7C5C0292" w:rsidR="00685C2C" w:rsidRPr="007A6182" w:rsidRDefault="00685C2C" w:rsidP="005A2A8E">
      <w:pPr>
        <w:jc w:val="both"/>
        <w:rPr>
          <w:rFonts w:ascii="Cambria" w:hAnsi="Cambria"/>
          <w:sz w:val="22"/>
          <w:szCs w:val="22"/>
        </w:rPr>
      </w:pPr>
      <w:r w:rsidRPr="007A6182">
        <w:rPr>
          <w:rFonts w:ascii="Cambria" w:hAnsi="Cambria"/>
          <w:sz w:val="22"/>
          <w:szCs w:val="22"/>
        </w:rPr>
        <w:t xml:space="preserve">To continue the work on the draft, </w:t>
      </w:r>
      <w:proofErr w:type="spellStart"/>
      <w:r w:rsidRPr="007A6182">
        <w:rPr>
          <w:rFonts w:ascii="Cambria" w:hAnsi="Cambria"/>
          <w:sz w:val="22"/>
          <w:szCs w:val="22"/>
        </w:rPr>
        <w:t>TB</w:t>
      </w:r>
      <w:r w:rsidR="009D36E8" w:rsidRPr="007A6182">
        <w:rPr>
          <w:rFonts w:ascii="Cambria" w:hAnsi="Cambria"/>
          <w:sz w:val="22"/>
          <w:szCs w:val="22"/>
        </w:rPr>
        <w:t>people</w:t>
      </w:r>
      <w:proofErr w:type="spellEnd"/>
      <w:r w:rsidRPr="007A6182">
        <w:rPr>
          <w:rFonts w:ascii="Cambria" w:hAnsi="Cambria"/>
          <w:sz w:val="22"/>
          <w:szCs w:val="22"/>
        </w:rPr>
        <w:t xml:space="preserve"> seeks to hire </w:t>
      </w:r>
      <w:r w:rsidR="003D77E1">
        <w:rPr>
          <w:rFonts w:ascii="Cambria" w:hAnsi="Cambria"/>
          <w:sz w:val="22"/>
          <w:szCs w:val="22"/>
        </w:rPr>
        <w:t xml:space="preserve">six </w:t>
      </w:r>
      <w:r w:rsidR="00AB1495">
        <w:rPr>
          <w:rFonts w:ascii="Cambria" w:hAnsi="Cambria"/>
          <w:sz w:val="22"/>
          <w:szCs w:val="22"/>
        </w:rPr>
        <w:t>regional focal points (RFPs)</w:t>
      </w:r>
      <w:r w:rsidR="003D77E1">
        <w:rPr>
          <w:rFonts w:ascii="Cambria" w:hAnsi="Cambria"/>
          <w:sz w:val="22"/>
          <w:szCs w:val="22"/>
        </w:rPr>
        <w:t>, who will support the process of a global consultation by covering the following six regions: European Region (including Eastern Europe and Central Asia); Americas; Middle East and North Africa; Anglophone Africa; Francophone Africa; Asia and Pacific.</w:t>
      </w:r>
    </w:p>
    <w:p w14:paraId="3ADC338F" w14:textId="2CB2C499" w:rsidR="00685C2C" w:rsidRPr="007A6182" w:rsidRDefault="00685C2C" w:rsidP="005A2A8E">
      <w:pPr>
        <w:jc w:val="both"/>
        <w:rPr>
          <w:rFonts w:ascii="Cambria" w:hAnsi="Cambria"/>
          <w:sz w:val="22"/>
          <w:szCs w:val="22"/>
        </w:rPr>
      </w:pPr>
    </w:p>
    <w:p w14:paraId="612CFEA4" w14:textId="1A82F918" w:rsidR="00685C2C" w:rsidRPr="007A6182" w:rsidRDefault="00685C2C" w:rsidP="005A2A8E">
      <w:pPr>
        <w:jc w:val="both"/>
        <w:rPr>
          <w:rFonts w:ascii="Cambria" w:hAnsi="Cambria"/>
          <w:b/>
          <w:bCs/>
          <w:sz w:val="22"/>
          <w:szCs w:val="22"/>
        </w:rPr>
      </w:pPr>
      <w:r w:rsidRPr="007A6182">
        <w:rPr>
          <w:rFonts w:ascii="Cambria" w:hAnsi="Cambria"/>
          <w:b/>
          <w:bCs/>
          <w:sz w:val="22"/>
          <w:szCs w:val="22"/>
        </w:rPr>
        <w:t>Qualifications</w:t>
      </w:r>
    </w:p>
    <w:p w14:paraId="2D9AC325" w14:textId="77777777" w:rsidR="00685C2C" w:rsidRPr="007A6182" w:rsidRDefault="00685C2C" w:rsidP="005A2A8E">
      <w:pPr>
        <w:jc w:val="both"/>
        <w:rPr>
          <w:rFonts w:ascii="Cambria" w:hAnsi="Cambria"/>
          <w:sz w:val="22"/>
          <w:szCs w:val="22"/>
        </w:rPr>
      </w:pPr>
    </w:p>
    <w:p w14:paraId="51003876" w14:textId="7102E876" w:rsidR="005A2A8E" w:rsidRPr="007A6182" w:rsidRDefault="00AB1495" w:rsidP="005A2A8E">
      <w:pPr>
        <w:jc w:val="both"/>
        <w:rPr>
          <w:rFonts w:ascii="Cambria" w:hAnsi="Cambria"/>
          <w:sz w:val="22"/>
          <w:szCs w:val="22"/>
        </w:rPr>
      </w:pPr>
      <w:r>
        <w:rPr>
          <w:rFonts w:ascii="Cambria" w:hAnsi="Cambria"/>
          <w:sz w:val="22"/>
          <w:szCs w:val="22"/>
        </w:rPr>
        <w:t>An RFP</w:t>
      </w:r>
      <w:r w:rsidR="00685C2C" w:rsidRPr="007A6182">
        <w:rPr>
          <w:rFonts w:ascii="Cambria" w:hAnsi="Cambria"/>
          <w:sz w:val="22"/>
          <w:szCs w:val="22"/>
        </w:rPr>
        <w:t xml:space="preserve"> should meet the following criteria:</w:t>
      </w:r>
    </w:p>
    <w:p w14:paraId="13416646" w14:textId="2AA0B7A2" w:rsidR="00685C2C" w:rsidRDefault="00AB1495" w:rsidP="005A2A8E">
      <w:pPr>
        <w:pStyle w:val="ListParagraph"/>
        <w:numPr>
          <w:ilvl w:val="0"/>
          <w:numId w:val="4"/>
        </w:numPr>
        <w:jc w:val="both"/>
        <w:rPr>
          <w:rFonts w:ascii="Cambria" w:hAnsi="Cambria"/>
          <w:sz w:val="22"/>
          <w:szCs w:val="22"/>
        </w:rPr>
      </w:pPr>
      <w:r>
        <w:rPr>
          <w:rFonts w:ascii="Cambria" w:hAnsi="Cambria"/>
          <w:sz w:val="22"/>
          <w:szCs w:val="22"/>
        </w:rPr>
        <w:lastRenderedPageBreak/>
        <w:t xml:space="preserve">excellent command of spoken and written </w:t>
      </w:r>
      <w:r w:rsidR="00685C2C" w:rsidRPr="007A6182">
        <w:rPr>
          <w:rFonts w:ascii="Cambria" w:hAnsi="Cambria"/>
          <w:sz w:val="22"/>
          <w:szCs w:val="22"/>
        </w:rPr>
        <w:t>English</w:t>
      </w:r>
      <w:r w:rsidR="003D77E1">
        <w:rPr>
          <w:rFonts w:ascii="Cambria" w:hAnsi="Cambria"/>
          <w:sz w:val="22"/>
          <w:szCs w:val="22"/>
        </w:rPr>
        <w:t>; native</w:t>
      </w:r>
      <w:r w:rsidR="001D6CF3">
        <w:rPr>
          <w:rFonts w:ascii="Cambria" w:hAnsi="Cambria"/>
          <w:sz w:val="22"/>
          <w:szCs w:val="22"/>
        </w:rPr>
        <w:t xml:space="preserve"> or highly fluent</w:t>
      </w:r>
      <w:r w:rsidR="003D77E1">
        <w:rPr>
          <w:rFonts w:ascii="Cambria" w:hAnsi="Cambria"/>
          <w:sz w:val="22"/>
          <w:szCs w:val="22"/>
        </w:rPr>
        <w:t xml:space="preserve"> speakers of the following languages are strongly preferred:</w:t>
      </w:r>
    </w:p>
    <w:p w14:paraId="6199C1B4" w14:textId="06764AEF" w:rsidR="003D77E1" w:rsidRDefault="003D77E1" w:rsidP="003D77E1">
      <w:pPr>
        <w:pStyle w:val="ListParagraph"/>
        <w:numPr>
          <w:ilvl w:val="1"/>
          <w:numId w:val="4"/>
        </w:numPr>
        <w:jc w:val="both"/>
        <w:rPr>
          <w:rFonts w:ascii="Cambria" w:hAnsi="Cambria"/>
          <w:sz w:val="22"/>
          <w:szCs w:val="22"/>
        </w:rPr>
      </w:pPr>
      <w:r>
        <w:rPr>
          <w:rFonts w:ascii="Cambria" w:hAnsi="Cambria"/>
          <w:sz w:val="22"/>
          <w:szCs w:val="22"/>
        </w:rPr>
        <w:t xml:space="preserve">Russian for </w:t>
      </w:r>
      <w:r w:rsidR="001D6CF3">
        <w:rPr>
          <w:rFonts w:ascii="Cambria" w:hAnsi="Cambria"/>
          <w:sz w:val="22"/>
          <w:szCs w:val="22"/>
        </w:rPr>
        <w:t>European region</w:t>
      </w:r>
    </w:p>
    <w:p w14:paraId="5F1187CB" w14:textId="4E49F62F" w:rsidR="001D6CF3" w:rsidRDefault="001D6CF3" w:rsidP="003D77E1">
      <w:pPr>
        <w:pStyle w:val="ListParagraph"/>
        <w:numPr>
          <w:ilvl w:val="1"/>
          <w:numId w:val="4"/>
        </w:numPr>
        <w:jc w:val="both"/>
        <w:rPr>
          <w:rFonts w:ascii="Cambria" w:hAnsi="Cambria"/>
          <w:sz w:val="22"/>
          <w:szCs w:val="22"/>
        </w:rPr>
      </w:pPr>
      <w:r>
        <w:rPr>
          <w:rFonts w:ascii="Cambria" w:hAnsi="Cambria"/>
          <w:sz w:val="22"/>
          <w:szCs w:val="22"/>
        </w:rPr>
        <w:t>Spanish for the Americas</w:t>
      </w:r>
    </w:p>
    <w:p w14:paraId="3A3AD9D4" w14:textId="77287F7A" w:rsidR="001D6CF3" w:rsidRDefault="001D6CF3" w:rsidP="003D77E1">
      <w:pPr>
        <w:pStyle w:val="ListParagraph"/>
        <w:numPr>
          <w:ilvl w:val="1"/>
          <w:numId w:val="4"/>
        </w:numPr>
        <w:jc w:val="both"/>
        <w:rPr>
          <w:rFonts w:ascii="Cambria" w:hAnsi="Cambria"/>
          <w:sz w:val="22"/>
          <w:szCs w:val="22"/>
        </w:rPr>
      </w:pPr>
      <w:r>
        <w:rPr>
          <w:rFonts w:ascii="Cambria" w:hAnsi="Cambria"/>
          <w:sz w:val="22"/>
          <w:szCs w:val="22"/>
        </w:rPr>
        <w:t>Arabic for Middle East and North Africa</w:t>
      </w:r>
    </w:p>
    <w:p w14:paraId="11A06036" w14:textId="3F2EED45" w:rsidR="001D6CF3" w:rsidRDefault="001D6CF3" w:rsidP="003D77E1">
      <w:pPr>
        <w:pStyle w:val="ListParagraph"/>
        <w:numPr>
          <w:ilvl w:val="1"/>
          <w:numId w:val="4"/>
        </w:numPr>
        <w:jc w:val="both"/>
        <w:rPr>
          <w:rFonts w:ascii="Cambria" w:hAnsi="Cambria"/>
          <w:sz w:val="22"/>
          <w:szCs w:val="22"/>
        </w:rPr>
      </w:pPr>
      <w:r>
        <w:rPr>
          <w:rFonts w:ascii="Cambria" w:hAnsi="Cambria"/>
          <w:sz w:val="22"/>
          <w:szCs w:val="22"/>
        </w:rPr>
        <w:t>French for Francophone Africa</w:t>
      </w:r>
    </w:p>
    <w:p w14:paraId="0F3C4362" w14:textId="5880FB29" w:rsidR="001D6CF3" w:rsidRDefault="001D6CF3" w:rsidP="003D77E1">
      <w:pPr>
        <w:pStyle w:val="ListParagraph"/>
        <w:numPr>
          <w:ilvl w:val="1"/>
          <w:numId w:val="4"/>
        </w:numPr>
        <w:jc w:val="both"/>
        <w:rPr>
          <w:rFonts w:ascii="Cambria" w:hAnsi="Cambria"/>
          <w:sz w:val="22"/>
          <w:szCs w:val="22"/>
        </w:rPr>
      </w:pPr>
      <w:r>
        <w:rPr>
          <w:rFonts w:ascii="Cambria" w:hAnsi="Cambria"/>
          <w:sz w:val="22"/>
          <w:szCs w:val="22"/>
        </w:rPr>
        <w:t xml:space="preserve">Swahili, </w:t>
      </w:r>
      <w:proofErr w:type="gramStart"/>
      <w:r>
        <w:rPr>
          <w:rFonts w:ascii="Cambria" w:hAnsi="Cambria"/>
          <w:sz w:val="22"/>
          <w:szCs w:val="22"/>
        </w:rPr>
        <w:t>Hausa</w:t>
      </w:r>
      <w:proofErr w:type="gramEnd"/>
      <w:r>
        <w:rPr>
          <w:rFonts w:ascii="Cambria" w:hAnsi="Cambria"/>
          <w:sz w:val="22"/>
          <w:szCs w:val="22"/>
        </w:rPr>
        <w:t xml:space="preserve"> or another widely spoken African language for Anglophone Africa</w:t>
      </w:r>
    </w:p>
    <w:p w14:paraId="70DDA6E7" w14:textId="361ED93E" w:rsidR="001D6CF3" w:rsidRPr="007A6182" w:rsidRDefault="001D6CF3" w:rsidP="003D77E1">
      <w:pPr>
        <w:pStyle w:val="ListParagraph"/>
        <w:numPr>
          <w:ilvl w:val="1"/>
          <w:numId w:val="4"/>
        </w:numPr>
        <w:jc w:val="both"/>
        <w:rPr>
          <w:rFonts w:ascii="Cambria" w:hAnsi="Cambria"/>
          <w:sz w:val="22"/>
          <w:szCs w:val="22"/>
        </w:rPr>
      </w:pPr>
      <w:r>
        <w:rPr>
          <w:rFonts w:ascii="Cambria" w:hAnsi="Cambria"/>
          <w:sz w:val="22"/>
          <w:szCs w:val="22"/>
        </w:rPr>
        <w:t xml:space="preserve">Bahasa, Hindi, </w:t>
      </w:r>
      <w:proofErr w:type="gramStart"/>
      <w:r>
        <w:rPr>
          <w:rFonts w:ascii="Cambria" w:hAnsi="Cambria"/>
          <w:sz w:val="22"/>
          <w:szCs w:val="22"/>
        </w:rPr>
        <w:t>Tamil</w:t>
      </w:r>
      <w:proofErr w:type="gramEnd"/>
      <w:r>
        <w:rPr>
          <w:rFonts w:ascii="Cambria" w:hAnsi="Cambria"/>
          <w:sz w:val="22"/>
          <w:szCs w:val="22"/>
        </w:rPr>
        <w:t xml:space="preserve"> or another widely spoken Asian language for Asia and Pacific</w:t>
      </w:r>
    </w:p>
    <w:p w14:paraId="3F4B40C5" w14:textId="6D35B15B" w:rsidR="005A2A8E" w:rsidRDefault="005A2A8E" w:rsidP="005A2A8E">
      <w:pPr>
        <w:pStyle w:val="ListParagraph"/>
        <w:numPr>
          <w:ilvl w:val="0"/>
          <w:numId w:val="4"/>
        </w:numPr>
        <w:jc w:val="both"/>
        <w:rPr>
          <w:rFonts w:ascii="Cambria" w:hAnsi="Cambria"/>
          <w:sz w:val="22"/>
          <w:szCs w:val="22"/>
        </w:rPr>
      </w:pPr>
      <w:r w:rsidRPr="007A6182">
        <w:rPr>
          <w:rFonts w:ascii="Cambria" w:hAnsi="Cambria"/>
          <w:sz w:val="22"/>
          <w:szCs w:val="22"/>
        </w:rPr>
        <w:t>ha</w:t>
      </w:r>
      <w:r w:rsidR="00685C2C" w:rsidRPr="007A6182">
        <w:rPr>
          <w:rFonts w:ascii="Cambria" w:hAnsi="Cambria"/>
          <w:sz w:val="22"/>
          <w:szCs w:val="22"/>
        </w:rPr>
        <w:t>ve</w:t>
      </w:r>
      <w:r w:rsidRPr="007A6182">
        <w:rPr>
          <w:rFonts w:ascii="Cambria" w:hAnsi="Cambria"/>
          <w:sz w:val="22"/>
          <w:szCs w:val="22"/>
        </w:rPr>
        <w:t xml:space="preserve"> </w:t>
      </w:r>
      <w:r w:rsidR="00302431">
        <w:rPr>
          <w:rFonts w:ascii="Cambria" w:hAnsi="Cambria"/>
          <w:sz w:val="22"/>
          <w:szCs w:val="22"/>
        </w:rPr>
        <w:t xml:space="preserve">documented </w:t>
      </w:r>
      <w:r w:rsidRPr="007A6182">
        <w:rPr>
          <w:rFonts w:ascii="Cambria" w:hAnsi="Cambria"/>
          <w:sz w:val="22"/>
          <w:szCs w:val="22"/>
        </w:rPr>
        <w:t>background (</w:t>
      </w:r>
      <w:r w:rsidR="00302431">
        <w:rPr>
          <w:rFonts w:ascii="Cambria" w:hAnsi="Cambria"/>
          <w:sz w:val="22"/>
          <w:szCs w:val="22"/>
        </w:rPr>
        <w:t xml:space="preserve">activism, </w:t>
      </w:r>
      <w:r w:rsidRPr="007A6182">
        <w:rPr>
          <w:rFonts w:ascii="Cambria" w:hAnsi="Cambria"/>
          <w:sz w:val="22"/>
          <w:szCs w:val="22"/>
        </w:rPr>
        <w:t xml:space="preserve">academic, </w:t>
      </w:r>
      <w:r w:rsidR="00302431">
        <w:rPr>
          <w:rFonts w:ascii="Cambria" w:hAnsi="Cambria"/>
          <w:sz w:val="22"/>
          <w:szCs w:val="22"/>
        </w:rPr>
        <w:t xml:space="preserve">or </w:t>
      </w:r>
      <w:r w:rsidRPr="007A6182">
        <w:rPr>
          <w:rFonts w:ascii="Cambria" w:hAnsi="Cambria"/>
          <w:sz w:val="22"/>
          <w:szCs w:val="22"/>
        </w:rPr>
        <w:t xml:space="preserve">professional-related) in TB </w:t>
      </w:r>
      <w:r w:rsidR="00685C2C" w:rsidRPr="007A6182">
        <w:rPr>
          <w:rFonts w:ascii="Cambria" w:hAnsi="Cambria"/>
          <w:sz w:val="22"/>
          <w:szCs w:val="22"/>
        </w:rPr>
        <w:t>among people who use drugs</w:t>
      </w:r>
    </w:p>
    <w:p w14:paraId="2AEFBE22" w14:textId="35426F44" w:rsidR="00302431" w:rsidRPr="007A6182" w:rsidRDefault="00302431" w:rsidP="005A2A8E">
      <w:pPr>
        <w:pStyle w:val="ListParagraph"/>
        <w:numPr>
          <w:ilvl w:val="0"/>
          <w:numId w:val="4"/>
        </w:numPr>
        <w:jc w:val="both"/>
        <w:rPr>
          <w:rFonts w:ascii="Cambria" w:hAnsi="Cambria"/>
          <w:sz w:val="22"/>
          <w:szCs w:val="22"/>
        </w:rPr>
      </w:pPr>
      <w:r>
        <w:rPr>
          <w:rFonts w:ascii="Cambria" w:hAnsi="Cambria"/>
          <w:sz w:val="22"/>
          <w:szCs w:val="22"/>
        </w:rPr>
        <w:t xml:space="preserve">have first-hand experience or documented active engagement in TB and drug user activism as well as a full understanding of the issues addressed in the position paper </w:t>
      </w:r>
    </w:p>
    <w:p w14:paraId="7B04A64F" w14:textId="09406E75" w:rsidR="00685C2C" w:rsidRDefault="00685C2C" w:rsidP="003F3325">
      <w:pPr>
        <w:pStyle w:val="ListParagraph"/>
        <w:numPr>
          <w:ilvl w:val="0"/>
          <w:numId w:val="4"/>
        </w:numPr>
        <w:jc w:val="both"/>
        <w:rPr>
          <w:rFonts w:ascii="Cambria" w:hAnsi="Cambria"/>
          <w:sz w:val="22"/>
          <w:szCs w:val="22"/>
        </w:rPr>
      </w:pPr>
      <w:r w:rsidRPr="007A6182">
        <w:rPr>
          <w:rFonts w:ascii="Cambria" w:hAnsi="Cambria"/>
          <w:sz w:val="22"/>
          <w:szCs w:val="22"/>
        </w:rPr>
        <w:t xml:space="preserve">have prior experience in </w:t>
      </w:r>
      <w:r w:rsidR="00AB1495">
        <w:rPr>
          <w:rFonts w:ascii="Cambria" w:hAnsi="Cambria"/>
          <w:sz w:val="22"/>
          <w:szCs w:val="22"/>
        </w:rPr>
        <w:t xml:space="preserve">conducting surveys, interviews or </w:t>
      </w:r>
      <w:proofErr w:type="gramStart"/>
      <w:r w:rsidR="00AB1495">
        <w:rPr>
          <w:rFonts w:ascii="Cambria" w:hAnsi="Cambria"/>
          <w:sz w:val="22"/>
          <w:szCs w:val="22"/>
        </w:rPr>
        <w:t>other</w:t>
      </w:r>
      <w:proofErr w:type="gramEnd"/>
      <w:r w:rsidR="00AB1495">
        <w:rPr>
          <w:rFonts w:ascii="Cambria" w:hAnsi="Cambria"/>
          <w:sz w:val="22"/>
          <w:szCs w:val="22"/>
        </w:rPr>
        <w:t xml:space="preserve"> participatory research</w:t>
      </w:r>
    </w:p>
    <w:p w14:paraId="07DA253F" w14:textId="2F40B0CD" w:rsidR="00AB1495" w:rsidRPr="007A6182" w:rsidRDefault="00AB1495" w:rsidP="003F3325">
      <w:pPr>
        <w:pStyle w:val="ListParagraph"/>
        <w:numPr>
          <w:ilvl w:val="0"/>
          <w:numId w:val="4"/>
        </w:numPr>
        <w:jc w:val="both"/>
        <w:rPr>
          <w:rFonts w:ascii="Cambria" w:hAnsi="Cambria"/>
          <w:sz w:val="22"/>
          <w:szCs w:val="22"/>
        </w:rPr>
      </w:pPr>
      <w:r>
        <w:rPr>
          <w:rFonts w:ascii="Cambria" w:hAnsi="Cambria"/>
          <w:sz w:val="22"/>
          <w:szCs w:val="22"/>
        </w:rPr>
        <w:t>have extensive connections with civil society and community groups and activists, working on issues of TB and people who use drugs in their respective region</w:t>
      </w:r>
    </w:p>
    <w:p w14:paraId="50633848" w14:textId="20AFC262" w:rsidR="00685C2C" w:rsidRPr="007A6182" w:rsidRDefault="00685C2C" w:rsidP="003F3325">
      <w:pPr>
        <w:pStyle w:val="ListParagraph"/>
        <w:numPr>
          <w:ilvl w:val="0"/>
          <w:numId w:val="4"/>
        </w:numPr>
        <w:jc w:val="both"/>
        <w:rPr>
          <w:rFonts w:ascii="Cambria" w:hAnsi="Cambria"/>
          <w:sz w:val="22"/>
          <w:szCs w:val="22"/>
        </w:rPr>
      </w:pPr>
      <w:r w:rsidRPr="007A6182">
        <w:rPr>
          <w:rFonts w:ascii="Cambria" w:hAnsi="Cambria"/>
          <w:sz w:val="22"/>
          <w:szCs w:val="22"/>
        </w:rPr>
        <w:t>be committed to work closely with</w:t>
      </w:r>
      <w:r w:rsidR="00AB1495">
        <w:rPr>
          <w:rFonts w:ascii="Cambria" w:hAnsi="Cambria"/>
          <w:sz w:val="22"/>
          <w:szCs w:val="22"/>
        </w:rPr>
        <w:t xml:space="preserve"> and</w:t>
      </w:r>
      <w:r w:rsidRPr="007A6182">
        <w:rPr>
          <w:rFonts w:ascii="Cambria" w:hAnsi="Cambria"/>
          <w:sz w:val="22"/>
          <w:szCs w:val="22"/>
        </w:rPr>
        <w:t xml:space="preserve"> </w:t>
      </w:r>
      <w:r w:rsidR="003E3E66" w:rsidRPr="007A6182">
        <w:rPr>
          <w:rFonts w:ascii="Cambria" w:hAnsi="Cambria"/>
          <w:sz w:val="22"/>
          <w:szCs w:val="22"/>
        </w:rPr>
        <w:t xml:space="preserve">be guided by </w:t>
      </w:r>
      <w:r w:rsidR="00AB1495">
        <w:rPr>
          <w:rFonts w:ascii="Cambria" w:hAnsi="Cambria"/>
          <w:sz w:val="22"/>
          <w:szCs w:val="22"/>
        </w:rPr>
        <w:t>the Editor</w:t>
      </w:r>
      <w:r w:rsidRPr="007A6182">
        <w:rPr>
          <w:rFonts w:ascii="Cambria" w:hAnsi="Cambria"/>
          <w:sz w:val="22"/>
          <w:szCs w:val="22"/>
        </w:rPr>
        <w:t xml:space="preserve">, </w:t>
      </w:r>
      <w:r w:rsidR="003E3E66" w:rsidRPr="007A6182">
        <w:rPr>
          <w:rFonts w:ascii="Cambria" w:hAnsi="Cambria"/>
          <w:sz w:val="22"/>
          <w:szCs w:val="22"/>
        </w:rPr>
        <w:t xml:space="preserve">and to </w:t>
      </w:r>
      <w:r w:rsidRPr="007A6182">
        <w:rPr>
          <w:rFonts w:ascii="Cambria" w:hAnsi="Cambria"/>
          <w:sz w:val="22"/>
          <w:szCs w:val="22"/>
        </w:rPr>
        <w:t>meet agreed timelines</w:t>
      </w:r>
    </w:p>
    <w:p w14:paraId="53635148" w14:textId="77777777" w:rsidR="003E3E66" w:rsidRPr="007A6182" w:rsidRDefault="003E3E66" w:rsidP="005A2A8E">
      <w:pPr>
        <w:jc w:val="both"/>
        <w:rPr>
          <w:rFonts w:ascii="Cambria" w:hAnsi="Cambria"/>
          <w:sz w:val="22"/>
          <w:szCs w:val="22"/>
        </w:rPr>
      </w:pPr>
    </w:p>
    <w:p w14:paraId="313E473D" w14:textId="77777777" w:rsidR="003E3E66" w:rsidRPr="007A6182" w:rsidRDefault="003E3E66" w:rsidP="005A2A8E">
      <w:pPr>
        <w:jc w:val="both"/>
        <w:rPr>
          <w:rFonts w:ascii="Cambria" w:hAnsi="Cambria"/>
          <w:sz w:val="22"/>
          <w:szCs w:val="22"/>
        </w:rPr>
      </w:pPr>
    </w:p>
    <w:p w14:paraId="51F52358" w14:textId="533277F1" w:rsidR="003E3E66" w:rsidRPr="007A6182" w:rsidRDefault="003E3E66" w:rsidP="005A2A8E">
      <w:pPr>
        <w:jc w:val="both"/>
        <w:rPr>
          <w:rFonts w:ascii="Cambria" w:hAnsi="Cambria"/>
          <w:b/>
          <w:bCs/>
          <w:sz w:val="22"/>
          <w:szCs w:val="22"/>
        </w:rPr>
      </w:pPr>
      <w:r w:rsidRPr="007A6182">
        <w:rPr>
          <w:rFonts w:ascii="Cambria" w:hAnsi="Cambria"/>
          <w:b/>
          <w:bCs/>
          <w:sz w:val="22"/>
          <w:szCs w:val="22"/>
        </w:rPr>
        <w:t>Tasks</w:t>
      </w:r>
    </w:p>
    <w:p w14:paraId="5230353C" w14:textId="77777777" w:rsidR="003E3E66" w:rsidRPr="007A6182" w:rsidRDefault="003E3E66" w:rsidP="005A2A8E">
      <w:pPr>
        <w:jc w:val="both"/>
        <w:rPr>
          <w:rFonts w:ascii="Cambria" w:hAnsi="Cambria"/>
          <w:sz w:val="22"/>
          <w:szCs w:val="22"/>
        </w:rPr>
      </w:pPr>
    </w:p>
    <w:p w14:paraId="70BE4AE7" w14:textId="099294BD" w:rsidR="00685C2C" w:rsidRPr="007A6182" w:rsidRDefault="00685C2C" w:rsidP="005A2A8E">
      <w:pPr>
        <w:jc w:val="both"/>
        <w:rPr>
          <w:rFonts w:ascii="Cambria" w:hAnsi="Cambria"/>
          <w:sz w:val="22"/>
          <w:szCs w:val="22"/>
        </w:rPr>
      </w:pPr>
      <w:r w:rsidRPr="007A6182">
        <w:rPr>
          <w:rFonts w:ascii="Cambria" w:hAnsi="Cambria"/>
          <w:sz w:val="22"/>
          <w:szCs w:val="22"/>
        </w:rPr>
        <w:t xml:space="preserve">The </w:t>
      </w:r>
      <w:r w:rsidR="00AB1495">
        <w:rPr>
          <w:rFonts w:ascii="Cambria" w:hAnsi="Cambria"/>
          <w:sz w:val="22"/>
          <w:szCs w:val="22"/>
        </w:rPr>
        <w:t>RFP</w:t>
      </w:r>
      <w:r w:rsidR="003E3E66" w:rsidRPr="007A6182">
        <w:rPr>
          <w:rFonts w:ascii="Cambria" w:hAnsi="Cambria"/>
          <w:sz w:val="22"/>
          <w:szCs w:val="22"/>
        </w:rPr>
        <w:t xml:space="preserve"> is expected to perform the following activities:</w:t>
      </w:r>
    </w:p>
    <w:p w14:paraId="35268A2F" w14:textId="7DA8E3B2" w:rsidR="00AB1495" w:rsidRDefault="001D6CF3" w:rsidP="00822DDA">
      <w:pPr>
        <w:pStyle w:val="ListParagraph"/>
        <w:numPr>
          <w:ilvl w:val="0"/>
          <w:numId w:val="3"/>
        </w:numPr>
        <w:rPr>
          <w:rFonts w:ascii="Cambria" w:hAnsi="Cambria"/>
          <w:sz w:val="22"/>
          <w:szCs w:val="22"/>
        </w:rPr>
      </w:pPr>
      <w:r>
        <w:rPr>
          <w:rFonts w:ascii="Cambria" w:hAnsi="Cambria"/>
          <w:sz w:val="22"/>
          <w:szCs w:val="22"/>
        </w:rPr>
        <w:t>For RFPs covering European region, Americas, Middle East and North Africa, and Francophone Africa: t</w:t>
      </w:r>
      <w:r w:rsidR="00AB1495">
        <w:rPr>
          <w:rFonts w:ascii="Cambria" w:hAnsi="Cambria"/>
          <w:sz w:val="22"/>
          <w:szCs w:val="22"/>
        </w:rPr>
        <w:t xml:space="preserve">ranslate the draft of the joint position paper into </w:t>
      </w:r>
      <w:r>
        <w:rPr>
          <w:rFonts w:ascii="Cambria" w:hAnsi="Cambria"/>
          <w:sz w:val="22"/>
          <w:szCs w:val="22"/>
        </w:rPr>
        <w:t>Russian, Spanish, Arabic, and French respectively</w:t>
      </w:r>
    </w:p>
    <w:p w14:paraId="4BA4EB06" w14:textId="4AD8EAF4" w:rsidR="00AB1495" w:rsidRDefault="001D6CF3" w:rsidP="00822DDA">
      <w:pPr>
        <w:pStyle w:val="ListParagraph"/>
        <w:numPr>
          <w:ilvl w:val="0"/>
          <w:numId w:val="3"/>
        </w:numPr>
        <w:rPr>
          <w:rFonts w:ascii="Cambria" w:hAnsi="Cambria"/>
          <w:sz w:val="22"/>
          <w:szCs w:val="22"/>
        </w:rPr>
      </w:pPr>
      <w:r>
        <w:rPr>
          <w:rFonts w:ascii="Cambria" w:hAnsi="Cambria"/>
          <w:sz w:val="22"/>
          <w:szCs w:val="22"/>
        </w:rPr>
        <w:t>For RFPs covering European region, Americas, Middle East and North Africa, and Francophone Africa: t</w:t>
      </w:r>
      <w:r w:rsidR="00AB1495">
        <w:rPr>
          <w:rFonts w:ascii="Cambria" w:hAnsi="Cambria"/>
          <w:sz w:val="22"/>
          <w:szCs w:val="22"/>
        </w:rPr>
        <w:t xml:space="preserve">ranslate the questionnaire for an online survey </w:t>
      </w:r>
      <w:r>
        <w:rPr>
          <w:rFonts w:ascii="Cambria" w:hAnsi="Cambria"/>
          <w:sz w:val="22"/>
          <w:szCs w:val="22"/>
        </w:rPr>
        <w:t>into Russian, Spanish, Arabic, and French respectively</w:t>
      </w:r>
    </w:p>
    <w:p w14:paraId="05AB180D" w14:textId="259B2562" w:rsidR="00AB1495" w:rsidRDefault="00AB1495" w:rsidP="00822DDA">
      <w:pPr>
        <w:pStyle w:val="ListParagraph"/>
        <w:numPr>
          <w:ilvl w:val="0"/>
          <w:numId w:val="3"/>
        </w:numPr>
        <w:rPr>
          <w:rFonts w:ascii="Cambria" w:hAnsi="Cambria"/>
          <w:sz w:val="22"/>
          <w:szCs w:val="22"/>
        </w:rPr>
      </w:pPr>
      <w:r>
        <w:rPr>
          <w:rFonts w:ascii="Cambria" w:hAnsi="Cambria"/>
          <w:sz w:val="22"/>
          <w:szCs w:val="22"/>
        </w:rPr>
        <w:t xml:space="preserve">Once launched, actively promote the online survey among relevant networks, </w:t>
      </w:r>
      <w:proofErr w:type="gramStart"/>
      <w:r>
        <w:rPr>
          <w:rFonts w:ascii="Cambria" w:hAnsi="Cambria"/>
          <w:sz w:val="22"/>
          <w:szCs w:val="22"/>
        </w:rPr>
        <w:t>groups</w:t>
      </w:r>
      <w:proofErr w:type="gramEnd"/>
      <w:r>
        <w:rPr>
          <w:rFonts w:ascii="Cambria" w:hAnsi="Cambria"/>
          <w:sz w:val="22"/>
          <w:szCs w:val="22"/>
        </w:rPr>
        <w:t xml:space="preserve"> and activists, ensuring at least </w:t>
      </w:r>
      <w:r w:rsidR="001D6CF3">
        <w:rPr>
          <w:rFonts w:ascii="Cambria" w:hAnsi="Cambria"/>
          <w:sz w:val="22"/>
          <w:szCs w:val="22"/>
        </w:rPr>
        <w:t xml:space="preserve">fifty </w:t>
      </w:r>
      <w:r w:rsidR="00227050">
        <w:rPr>
          <w:rFonts w:ascii="Cambria" w:hAnsi="Cambria"/>
          <w:sz w:val="22"/>
          <w:szCs w:val="22"/>
        </w:rPr>
        <w:t xml:space="preserve">fully completed surveys per </w:t>
      </w:r>
      <w:r>
        <w:rPr>
          <w:rFonts w:ascii="Cambria" w:hAnsi="Cambria"/>
          <w:sz w:val="22"/>
          <w:szCs w:val="22"/>
        </w:rPr>
        <w:t>region</w:t>
      </w:r>
    </w:p>
    <w:p w14:paraId="4A1C53C3" w14:textId="2F25A66D" w:rsidR="000D5CD3" w:rsidRDefault="000D5CD3" w:rsidP="00822DDA">
      <w:pPr>
        <w:pStyle w:val="ListParagraph"/>
        <w:numPr>
          <w:ilvl w:val="0"/>
          <w:numId w:val="3"/>
        </w:numPr>
        <w:rPr>
          <w:rFonts w:ascii="Cambria" w:hAnsi="Cambria"/>
          <w:sz w:val="22"/>
          <w:szCs w:val="22"/>
        </w:rPr>
      </w:pPr>
      <w:r>
        <w:rPr>
          <w:rFonts w:ascii="Cambria" w:hAnsi="Cambria"/>
          <w:sz w:val="22"/>
          <w:szCs w:val="22"/>
        </w:rPr>
        <w:t xml:space="preserve">Reach out to and </w:t>
      </w:r>
      <w:r w:rsidR="00227050">
        <w:rPr>
          <w:rFonts w:ascii="Cambria" w:hAnsi="Cambria"/>
          <w:sz w:val="22"/>
          <w:szCs w:val="22"/>
        </w:rPr>
        <w:t xml:space="preserve">carry out in-depth </w:t>
      </w:r>
      <w:r>
        <w:rPr>
          <w:rFonts w:ascii="Cambria" w:hAnsi="Cambria"/>
          <w:sz w:val="22"/>
          <w:szCs w:val="22"/>
        </w:rPr>
        <w:t xml:space="preserve">interview </w:t>
      </w:r>
      <w:r w:rsidR="00227050">
        <w:rPr>
          <w:rFonts w:ascii="Cambria" w:hAnsi="Cambria"/>
          <w:sz w:val="22"/>
          <w:szCs w:val="22"/>
        </w:rPr>
        <w:t xml:space="preserve">with </w:t>
      </w:r>
      <w:r>
        <w:rPr>
          <w:rFonts w:ascii="Cambria" w:hAnsi="Cambria"/>
          <w:sz w:val="22"/>
          <w:szCs w:val="22"/>
        </w:rPr>
        <w:t>at least five most prominent community activists working on issues affecting people who use drugs and specifically TB among people who use drugs and conduct in-depth interviews seeking feedback and insights on the draft position paper</w:t>
      </w:r>
    </w:p>
    <w:p w14:paraId="35B2FCE3" w14:textId="75E5F553" w:rsidR="000D5CD3" w:rsidRDefault="000D5CD3" w:rsidP="00822DDA">
      <w:pPr>
        <w:pStyle w:val="ListParagraph"/>
        <w:numPr>
          <w:ilvl w:val="0"/>
          <w:numId w:val="3"/>
        </w:numPr>
        <w:rPr>
          <w:rFonts w:ascii="Cambria" w:hAnsi="Cambria"/>
          <w:sz w:val="22"/>
          <w:szCs w:val="22"/>
        </w:rPr>
      </w:pPr>
      <w:r>
        <w:rPr>
          <w:rFonts w:ascii="Cambria" w:hAnsi="Cambria"/>
          <w:sz w:val="22"/>
          <w:szCs w:val="22"/>
        </w:rPr>
        <w:t>Analyze online survey results and feedback from in-depth interviews and lay them out in a detailed report</w:t>
      </w:r>
      <w:r w:rsidR="00227050">
        <w:rPr>
          <w:rFonts w:ascii="Cambria" w:hAnsi="Cambria"/>
          <w:sz w:val="22"/>
          <w:szCs w:val="22"/>
        </w:rPr>
        <w:t>, in English,</w:t>
      </w:r>
      <w:r>
        <w:rPr>
          <w:rFonts w:ascii="Cambria" w:hAnsi="Cambria"/>
          <w:sz w:val="22"/>
          <w:szCs w:val="22"/>
        </w:rPr>
        <w:t xml:space="preserve"> for the Editor to use </w:t>
      </w:r>
      <w:proofErr w:type="gramStart"/>
      <w:r>
        <w:rPr>
          <w:rFonts w:ascii="Cambria" w:hAnsi="Cambria"/>
          <w:sz w:val="22"/>
          <w:szCs w:val="22"/>
        </w:rPr>
        <w:t>in order to</w:t>
      </w:r>
      <w:proofErr w:type="gramEnd"/>
      <w:r>
        <w:rPr>
          <w:rFonts w:ascii="Cambria" w:hAnsi="Cambria"/>
          <w:sz w:val="22"/>
          <w:szCs w:val="22"/>
        </w:rPr>
        <w:t xml:space="preserve"> further work on the draft joint position paper</w:t>
      </w:r>
    </w:p>
    <w:p w14:paraId="5CC28129" w14:textId="418DAB4E" w:rsidR="000D5CD3" w:rsidRDefault="000D5CD3" w:rsidP="00822DDA">
      <w:pPr>
        <w:pStyle w:val="ListParagraph"/>
        <w:numPr>
          <w:ilvl w:val="0"/>
          <w:numId w:val="3"/>
        </w:numPr>
        <w:rPr>
          <w:rFonts w:ascii="Cambria" w:hAnsi="Cambria"/>
          <w:sz w:val="22"/>
          <w:szCs w:val="22"/>
        </w:rPr>
      </w:pPr>
      <w:r>
        <w:rPr>
          <w:rFonts w:ascii="Cambria" w:hAnsi="Cambria"/>
          <w:sz w:val="22"/>
          <w:szCs w:val="22"/>
        </w:rPr>
        <w:t xml:space="preserve">If requested by the Editor, provide explanations, </w:t>
      </w:r>
      <w:proofErr w:type="gramStart"/>
      <w:r>
        <w:rPr>
          <w:rFonts w:ascii="Cambria" w:hAnsi="Cambria"/>
          <w:sz w:val="22"/>
          <w:szCs w:val="22"/>
        </w:rPr>
        <w:t>clarifications</w:t>
      </w:r>
      <w:proofErr w:type="gramEnd"/>
      <w:r>
        <w:rPr>
          <w:rFonts w:ascii="Cambria" w:hAnsi="Cambria"/>
          <w:sz w:val="22"/>
          <w:szCs w:val="22"/>
        </w:rPr>
        <w:t xml:space="preserve"> and additional information on information in the report</w:t>
      </w:r>
    </w:p>
    <w:p w14:paraId="5959409D" w14:textId="26A87163" w:rsidR="00177CD4" w:rsidRDefault="00227050" w:rsidP="00822DDA">
      <w:pPr>
        <w:pStyle w:val="ListParagraph"/>
        <w:numPr>
          <w:ilvl w:val="0"/>
          <w:numId w:val="3"/>
        </w:numPr>
        <w:rPr>
          <w:rFonts w:ascii="Cambria" w:hAnsi="Cambria"/>
          <w:sz w:val="22"/>
          <w:szCs w:val="22"/>
        </w:rPr>
      </w:pPr>
      <w:r>
        <w:rPr>
          <w:rFonts w:ascii="Cambria" w:hAnsi="Cambria"/>
          <w:sz w:val="22"/>
          <w:szCs w:val="22"/>
        </w:rPr>
        <w:t>For RFPs covering European region, Americas, Middle East and North Africa, and Francophone Africa: c</w:t>
      </w:r>
      <w:r w:rsidR="00177CD4">
        <w:rPr>
          <w:rFonts w:ascii="Cambria" w:hAnsi="Cambria"/>
          <w:sz w:val="22"/>
          <w:szCs w:val="22"/>
        </w:rPr>
        <w:t xml:space="preserve">arry out translation of the final version of the joint position paper into </w:t>
      </w:r>
      <w:r>
        <w:rPr>
          <w:rFonts w:ascii="Cambria" w:hAnsi="Cambria"/>
          <w:sz w:val="22"/>
          <w:szCs w:val="22"/>
        </w:rPr>
        <w:t>Russian, Spanish, Arabic, and French respectively</w:t>
      </w:r>
    </w:p>
    <w:p w14:paraId="469A3E00" w14:textId="1F4947EE" w:rsidR="00822DDA" w:rsidRPr="007A6182" w:rsidRDefault="00ED59D8" w:rsidP="00822DDA">
      <w:pPr>
        <w:pStyle w:val="ListParagraph"/>
        <w:numPr>
          <w:ilvl w:val="0"/>
          <w:numId w:val="3"/>
        </w:numPr>
        <w:rPr>
          <w:rFonts w:ascii="Cambria" w:hAnsi="Cambria"/>
          <w:sz w:val="22"/>
          <w:szCs w:val="22"/>
        </w:rPr>
      </w:pPr>
      <w:r w:rsidRPr="007A6182">
        <w:rPr>
          <w:rFonts w:ascii="Cambria" w:hAnsi="Cambria"/>
          <w:sz w:val="22"/>
          <w:szCs w:val="22"/>
        </w:rPr>
        <w:t>Submit a</w:t>
      </w:r>
      <w:r w:rsidR="003E3E66" w:rsidRPr="007A6182">
        <w:rPr>
          <w:rFonts w:ascii="Cambria" w:hAnsi="Cambria"/>
          <w:sz w:val="22"/>
          <w:szCs w:val="22"/>
        </w:rPr>
        <w:t>n end-of-</w:t>
      </w:r>
      <w:r w:rsidRPr="007A6182">
        <w:rPr>
          <w:rFonts w:ascii="Cambria" w:hAnsi="Cambria"/>
          <w:sz w:val="22"/>
          <w:szCs w:val="22"/>
        </w:rPr>
        <w:t>consultancy report</w:t>
      </w:r>
      <w:r w:rsidR="000D5CD3">
        <w:rPr>
          <w:rFonts w:ascii="Cambria" w:hAnsi="Cambria"/>
          <w:sz w:val="22"/>
          <w:szCs w:val="22"/>
        </w:rPr>
        <w:t xml:space="preserve"> detailing work carried out</w:t>
      </w:r>
    </w:p>
    <w:p w14:paraId="26496CF4" w14:textId="77777777" w:rsidR="00822DDA" w:rsidRPr="007A6182" w:rsidRDefault="00822DDA" w:rsidP="00822DDA">
      <w:pPr>
        <w:rPr>
          <w:rFonts w:ascii="Cambria" w:hAnsi="Cambria"/>
          <w:sz w:val="22"/>
          <w:szCs w:val="22"/>
        </w:rPr>
      </w:pPr>
    </w:p>
    <w:p w14:paraId="69E59625" w14:textId="77777777" w:rsidR="00822DDA" w:rsidRPr="007A6182" w:rsidRDefault="00822DDA" w:rsidP="00822DDA">
      <w:pPr>
        <w:rPr>
          <w:rFonts w:ascii="Cambria" w:hAnsi="Cambria"/>
          <w:b/>
          <w:sz w:val="22"/>
          <w:szCs w:val="22"/>
        </w:rPr>
      </w:pPr>
      <w:r w:rsidRPr="007A6182">
        <w:rPr>
          <w:rFonts w:ascii="Cambria" w:hAnsi="Cambria"/>
          <w:b/>
          <w:sz w:val="22"/>
          <w:szCs w:val="22"/>
        </w:rPr>
        <w:t>Budget</w:t>
      </w:r>
    </w:p>
    <w:p w14:paraId="27BDEA8D" w14:textId="77777777" w:rsidR="00822DDA" w:rsidRPr="007A6182" w:rsidRDefault="00822DDA" w:rsidP="00822DDA">
      <w:pPr>
        <w:rPr>
          <w:rFonts w:ascii="Cambria" w:hAnsi="Cambria"/>
          <w:sz w:val="22"/>
          <w:szCs w:val="22"/>
        </w:rPr>
      </w:pPr>
    </w:p>
    <w:p w14:paraId="3BDBE649" w14:textId="14F1A8C4" w:rsidR="00822DDA" w:rsidRDefault="00822DDA" w:rsidP="00822DDA">
      <w:pPr>
        <w:rPr>
          <w:rFonts w:ascii="Cambria" w:hAnsi="Cambria"/>
          <w:sz w:val="22"/>
          <w:szCs w:val="22"/>
        </w:rPr>
      </w:pPr>
      <w:r w:rsidRPr="007A6182">
        <w:rPr>
          <w:rFonts w:ascii="Cambria" w:hAnsi="Cambria"/>
          <w:sz w:val="22"/>
          <w:szCs w:val="22"/>
        </w:rPr>
        <w:t xml:space="preserve">Total </w:t>
      </w:r>
      <w:r w:rsidR="004F4580" w:rsidRPr="007A6182">
        <w:rPr>
          <w:rFonts w:ascii="Cambria" w:hAnsi="Cambria"/>
          <w:sz w:val="22"/>
          <w:szCs w:val="22"/>
        </w:rPr>
        <w:t xml:space="preserve">budget for the assignment is </w:t>
      </w:r>
      <w:r w:rsidR="003E3E66" w:rsidRPr="007A6182">
        <w:rPr>
          <w:rFonts w:ascii="Cambria" w:hAnsi="Cambria"/>
          <w:sz w:val="22"/>
          <w:szCs w:val="22"/>
        </w:rPr>
        <w:t>5</w:t>
      </w:r>
      <w:r w:rsidRPr="007A6182">
        <w:rPr>
          <w:rFonts w:ascii="Cambria" w:hAnsi="Cambria"/>
          <w:sz w:val="22"/>
          <w:szCs w:val="22"/>
        </w:rPr>
        <w:t>00 USD</w:t>
      </w:r>
      <w:r w:rsidR="00227050">
        <w:rPr>
          <w:rFonts w:ascii="Cambria" w:hAnsi="Cambria"/>
          <w:sz w:val="22"/>
          <w:szCs w:val="22"/>
        </w:rPr>
        <w:t>; for RFPs covering European region, Americas, Middle East and North Africa, and Francophone Africa, extra</w:t>
      </w:r>
      <w:r w:rsidR="00DC30AB">
        <w:rPr>
          <w:rFonts w:ascii="Cambria" w:hAnsi="Cambria"/>
          <w:sz w:val="22"/>
          <w:szCs w:val="22"/>
        </w:rPr>
        <w:t xml:space="preserve"> </w:t>
      </w:r>
      <w:r w:rsidR="00227050">
        <w:rPr>
          <w:rFonts w:ascii="Cambria" w:hAnsi="Cambria"/>
          <w:sz w:val="22"/>
          <w:szCs w:val="22"/>
        </w:rPr>
        <w:t>2</w:t>
      </w:r>
      <w:r w:rsidR="00DC30AB" w:rsidRPr="00227050">
        <w:rPr>
          <w:rFonts w:ascii="Cambria" w:hAnsi="Cambria"/>
          <w:sz w:val="22"/>
          <w:szCs w:val="22"/>
        </w:rPr>
        <w:t xml:space="preserve">00 USD </w:t>
      </w:r>
      <w:r w:rsidR="00227050">
        <w:rPr>
          <w:rFonts w:ascii="Cambria" w:hAnsi="Cambria"/>
          <w:sz w:val="22"/>
          <w:szCs w:val="22"/>
        </w:rPr>
        <w:t xml:space="preserve">will be provided for the </w:t>
      </w:r>
      <w:r w:rsidR="00DC30AB" w:rsidRPr="00227050">
        <w:rPr>
          <w:rFonts w:ascii="Cambria" w:hAnsi="Cambria"/>
          <w:sz w:val="22"/>
          <w:szCs w:val="22"/>
        </w:rPr>
        <w:t>translation</w:t>
      </w:r>
      <w:r w:rsidRPr="007A6182">
        <w:rPr>
          <w:rFonts w:ascii="Cambria" w:hAnsi="Cambria"/>
          <w:sz w:val="22"/>
          <w:szCs w:val="22"/>
        </w:rPr>
        <w:t xml:space="preserve">. </w:t>
      </w:r>
      <w:r w:rsidR="007A6182" w:rsidRPr="007A6182">
        <w:rPr>
          <w:rFonts w:ascii="Cambria" w:hAnsi="Cambria"/>
          <w:sz w:val="22"/>
          <w:szCs w:val="22"/>
        </w:rPr>
        <w:t xml:space="preserve">In order to minimize the charges, </w:t>
      </w:r>
      <w:proofErr w:type="spellStart"/>
      <w:r w:rsidR="007A6182" w:rsidRPr="007A6182">
        <w:rPr>
          <w:rFonts w:ascii="Cambria" w:hAnsi="Cambria"/>
          <w:sz w:val="22"/>
          <w:szCs w:val="22"/>
        </w:rPr>
        <w:t>TB</w:t>
      </w:r>
      <w:r w:rsidR="009D36E8" w:rsidRPr="007A6182">
        <w:rPr>
          <w:rFonts w:ascii="Cambria" w:hAnsi="Cambria"/>
          <w:sz w:val="22"/>
          <w:szCs w:val="22"/>
        </w:rPr>
        <w:t>people</w:t>
      </w:r>
      <w:proofErr w:type="spellEnd"/>
      <w:r w:rsidR="007A6182" w:rsidRPr="007A6182">
        <w:rPr>
          <w:rFonts w:ascii="Cambria" w:hAnsi="Cambria"/>
          <w:sz w:val="22"/>
          <w:szCs w:val="22"/>
        </w:rPr>
        <w:t xml:space="preserve"> transfers full payment </w:t>
      </w:r>
      <w:r w:rsidR="001E49D8" w:rsidRPr="007A6182">
        <w:rPr>
          <w:rFonts w:ascii="Cambria" w:hAnsi="Cambria"/>
          <w:sz w:val="22"/>
          <w:szCs w:val="22"/>
        </w:rPr>
        <w:t xml:space="preserve">when </w:t>
      </w:r>
      <w:r w:rsidR="007A6182" w:rsidRPr="007A6182">
        <w:rPr>
          <w:rFonts w:ascii="Cambria" w:hAnsi="Cambria"/>
          <w:sz w:val="22"/>
          <w:szCs w:val="22"/>
        </w:rPr>
        <w:t xml:space="preserve">the </w:t>
      </w:r>
      <w:r w:rsidR="001E49D8" w:rsidRPr="007A6182">
        <w:rPr>
          <w:rFonts w:ascii="Cambria" w:hAnsi="Cambria"/>
          <w:sz w:val="22"/>
          <w:szCs w:val="22"/>
        </w:rPr>
        <w:t xml:space="preserve">deliverables (final </w:t>
      </w:r>
      <w:r w:rsidR="00DC30AB">
        <w:rPr>
          <w:rFonts w:ascii="Cambria" w:hAnsi="Cambria"/>
          <w:sz w:val="22"/>
          <w:szCs w:val="22"/>
        </w:rPr>
        <w:t xml:space="preserve">report on feedback from online survey and in-depth interviews and </w:t>
      </w:r>
      <w:r w:rsidR="001E49D8" w:rsidRPr="007A6182">
        <w:rPr>
          <w:rFonts w:ascii="Cambria" w:hAnsi="Cambria"/>
          <w:sz w:val="22"/>
          <w:szCs w:val="22"/>
        </w:rPr>
        <w:t>end</w:t>
      </w:r>
      <w:r w:rsidR="003E3E66" w:rsidRPr="007A6182">
        <w:rPr>
          <w:rFonts w:ascii="Cambria" w:hAnsi="Cambria"/>
          <w:sz w:val="22"/>
          <w:szCs w:val="22"/>
        </w:rPr>
        <w:t>-</w:t>
      </w:r>
      <w:r w:rsidR="001E49D8" w:rsidRPr="007A6182">
        <w:rPr>
          <w:rFonts w:ascii="Cambria" w:hAnsi="Cambria"/>
          <w:sz w:val="22"/>
          <w:szCs w:val="22"/>
        </w:rPr>
        <w:t>of</w:t>
      </w:r>
      <w:r w:rsidR="003E3E66" w:rsidRPr="007A6182">
        <w:rPr>
          <w:rFonts w:ascii="Cambria" w:hAnsi="Cambria"/>
          <w:sz w:val="22"/>
          <w:szCs w:val="22"/>
        </w:rPr>
        <w:t>-</w:t>
      </w:r>
      <w:r w:rsidR="001E49D8" w:rsidRPr="007A6182">
        <w:rPr>
          <w:rFonts w:ascii="Cambria" w:hAnsi="Cambria"/>
          <w:sz w:val="22"/>
          <w:szCs w:val="22"/>
        </w:rPr>
        <w:t>consultancy report) are submitted</w:t>
      </w:r>
      <w:r w:rsidR="007A6182" w:rsidRPr="007A6182">
        <w:rPr>
          <w:rFonts w:ascii="Cambria" w:hAnsi="Cambria"/>
          <w:sz w:val="22"/>
          <w:szCs w:val="22"/>
        </w:rPr>
        <w:t xml:space="preserve">, </w:t>
      </w:r>
      <w:r w:rsidR="00DC30AB">
        <w:rPr>
          <w:rFonts w:ascii="Cambria" w:hAnsi="Cambria"/>
          <w:sz w:val="22"/>
          <w:szCs w:val="22"/>
        </w:rPr>
        <w:t>upon confirmation of completion of the task by the Editor. A</w:t>
      </w:r>
      <w:r w:rsidR="007A6182" w:rsidRPr="007A6182">
        <w:rPr>
          <w:rFonts w:ascii="Cambria" w:hAnsi="Cambria"/>
          <w:sz w:val="22"/>
          <w:szCs w:val="22"/>
        </w:rPr>
        <w:t xml:space="preserve">dvance payment of up to </w:t>
      </w:r>
      <w:r w:rsidR="00B106DB">
        <w:rPr>
          <w:rFonts w:ascii="Cambria" w:hAnsi="Cambria"/>
          <w:sz w:val="22"/>
          <w:szCs w:val="22"/>
        </w:rPr>
        <w:t>25</w:t>
      </w:r>
      <w:r w:rsidR="007A6182" w:rsidRPr="007A6182">
        <w:rPr>
          <w:rFonts w:ascii="Cambria" w:hAnsi="Cambria"/>
          <w:sz w:val="22"/>
          <w:szCs w:val="22"/>
        </w:rPr>
        <w:t>% may be negotiated.</w:t>
      </w:r>
    </w:p>
    <w:p w14:paraId="1B93FCD2" w14:textId="1756B2F9" w:rsidR="009672D0" w:rsidRDefault="009672D0" w:rsidP="00822DDA">
      <w:pPr>
        <w:rPr>
          <w:rFonts w:ascii="Cambria" w:hAnsi="Cambria"/>
          <w:sz w:val="22"/>
          <w:szCs w:val="22"/>
        </w:rPr>
      </w:pPr>
    </w:p>
    <w:p w14:paraId="741CB426" w14:textId="226B4053" w:rsidR="009672D0" w:rsidRPr="009672D0" w:rsidRDefault="009672D0" w:rsidP="00822DDA">
      <w:pPr>
        <w:rPr>
          <w:rFonts w:ascii="Cambria" w:hAnsi="Cambria"/>
          <w:b/>
          <w:sz w:val="22"/>
          <w:szCs w:val="22"/>
        </w:rPr>
      </w:pPr>
      <w:r w:rsidRPr="009672D0">
        <w:rPr>
          <w:rFonts w:ascii="Cambria" w:hAnsi="Cambria"/>
          <w:b/>
          <w:sz w:val="22"/>
          <w:szCs w:val="22"/>
        </w:rPr>
        <w:t>Selection</w:t>
      </w:r>
    </w:p>
    <w:p w14:paraId="078F6D86" w14:textId="24695817" w:rsidR="009672D0" w:rsidRDefault="009672D0" w:rsidP="00822DDA">
      <w:pPr>
        <w:rPr>
          <w:rFonts w:ascii="Cambria" w:hAnsi="Cambria"/>
          <w:sz w:val="22"/>
          <w:szCs w:val="22"/>
        </w:rPr>
      </w:pPr>
    </w:p>
    <w:p w14:paraId="78653CD9" w14:textId="756377E6" w:rsidR="009672D0" w:rsidRPr="007A6182" w:rsidRDefault="009672D0" w:rsidP="00822DDA">
      <w:pPr>
        <w:rPr>
          <w:rFonts w:ascii="Cambria" w:hAnsi="Cambria"/>
          <w:sz w:val="22"/>
          <w:szCs w:val="22"/>
        </w:rPr>
      </w:pPr>
      <w:r>
        <w:rPr>
          <w:rFonts w:ascii="Cambria" w:hAnsi="Cambria"/>
          <w:sz w:val="22"/>
          <w:szCs w:val="22"/>
        </w:rPr>
        <w:lastRenderedPageBreak/>
        <w:t xml:space="preserve">The </w:t>
      </w:r>
      <w:r w:rsidR="00DC30AB">
        <w:rPr>
          <w:rFonts w:ascii="Cambria" w:hAnsi="Cambria"/>
          <w:sz w:val="22"/>
          <w:szCs w:val="22"/>
        </w:rPr>
        <w:t>RFP</w:t>
      </w:r>
      <w:r>
        <w:rPr>
          <w:rFonts w:ascii="Cambria" w:hAnsi="Cambria"/>
          <w:sz w:val="22"/>
          <w:szCs w:val="22"/>
        </w:rPr>
        <w:t xml:space="preserve"> will be identified through an open call, disseminated through all relevant channels, including </w:t>
      </w:r>
      <w:proofErr w:type="spellStart"/>
      <w:r>
        <w:rPr>
          <w:rFonts w:ascii="Cambria" w:hAnsi="Cambria"/>
          <w:sz w:val="22"/>
          <w:szCs w:val="22"/>
        </w:rPr>
        <w:t>TBpeople</w:t>
      </w:r>
      <w:proofErr w:type="spellEnd"/>
      <w:r>
        <w:rPr>
          <w:rFonts w:ascii="Cambria" w:hAnsi="Cambria"/>
          <w:sz w:val="22"/>
          <w:szCs w:val="22"/>
        </w:rPr>
        <w:t xml:space="preserve"> and INPUD mailing lists, social media, other thematic mailing lists, as well as through targeted outreach to potential candidates identified by the WG. Candidates will be requested to apply to </w:t>
      </w:r>
      <w:r w:rsidR="00227050" w:rsidRPr="00227050">
        <w:rPr>
          <w:rFonts w:ascii="Cambria" w:hAnsi="Cambria"/>
          <w:sz w:val="22"/>
          <w:szCs w:val="22"/>
        </w:rPr>
        <w:t xml:space="preserve">paulanthonythorn@gmail.com </w:t>
      </w:r>
      <w:r>
        <w:rPr>
          <w:rFonts w:ascii="Cambria" w:hAnsi="Cambria"/>
          <w:sz w:val="22"/>
          <w:szCs w:val="22"/>
        </w:rPr>
        <w:t>by sending a current resumé/CV, a cover letter describing how the candidate’s qualifications fit the criteria, and two samples of published works</w:t>
      </w:r>
      <w:r w:rsidR="00227050">
        <w:rPr>
          <w:rFonts w:ascii="Cambria" w:hAnsi="Cambria"/>
          <w:sz w:val="22"/>
          <w:szCs w:val="22"/>
        </w:rPr>
        <w:t xml:space="preserve"> (if available)</w:t>
      </w:r>
      <w:r>
        <w:rPr>
          <w:rFonts w:ascii="Cambria" w:hAnsi="Cambria"/>
          <w:sz w:val="22"/>
          <w:szCs w:val="22"/>
        </w:rPr>
        <w:t xml:space="preserve">. The deadline for application is </w:t>
      </w:r>
      <w:r w:rsidR="00227050">
        <w:rPr>
          <w:rFonts w:ascii="Cambria" w:hAnsi="Cambria"/>
          <w:sz w:val="22"/>
          <w:szCs w:val="22"/>
        </w:rPr>
        <w:t>Wednesday, 23 September 2020</w:t>
      </w:r>
      <w:r>
        <w:rPr>
          <w:rFonts w:ascii="Cambria" w:hAnsi="Cambria"/>
          <w:sz w:val="22"/>
          <w:szCs w:val="22"/>
        </w:rPr>
        <w:t>.</w:t>
      </w:r>
    </w:p>
    <w:p w14:paraId="50622C58" w14:textId="77777777" w:rsidR="00822DDA" w:rsidRPr="007A6182" w:rsidRDefault="00822DDA" w:rsidP="0051066F">
      <w:pPr>
        <w:jc w:val="center"/>
        <w:rPr>
          <w:rFonts w:ascii="Cambria" w:hAnsi="Cambria"/>
          <w:b/>
          <w:smallCaps/>
          <w:color w:val="000000" w:themeColor="text1"/>
          <w:sz w:val="22"/>
          <w:szCs w:val="22"/>
        </w:rPr>
      </w:pPr>
    </w:p>
    <w:p w14:paraId="4D5211D1" w14:textId="0C08831B" w:rsidR="0051066F" w:rsidRPr="007A6182" w:rsidRDefault="0051066F" w:rsidP="0051066F">
      <w:pPr>
        <w:rPr>
          <w:rFonts w:ascii="Cambria" w:hAnsi="Cambria"/>
          <w:b/>
          <w:color w:val="000000" w:themeColor="text1"/>
          <w:sz w:val="22"/>
          <w:szCs w:val="22"/>
        </w:rPr>
      </w:pPr>
      <w:r w:rsidRPr="007A6182">
        <w:rPr>
          <w:rFonts w:ascii="Cambria" w:hAnsi="Cambria"/>
          <w:b/>
          <w:color w:val="000000" w:themeColor="text1"/>
          <w:sz w:val="22"/>
          <w:szCs w:val="22"/>
        </w:rPr>
        <w:t xml:space="preserve">About </w:t>
      </w:r>
      <w:proofErr w:type="spellStart"/>
      <w:r w:rsidR="00FB7BD6" w:rsidRPr="007A6182">
        <w:rPr>
          <w:rFonts w:ascii="Cambria" w:hAnsi="Cambria"/>
          <w:b/>
          <w:color w:val="000000" w:themeColor="text1"/>
          <w:sz w:val="22"/>
          <w:szCs w:val="22"/>
        </w:rPr>
        <w:t>TB</w:t>
      </w:r>
      <w:r w:rsidR="009D36E8" w:rsidRPr="007A6182">
        <w:rPr>
          <w:rFonts w:ascii="Cambria" w:hAnsi="Cambria"/>
          <w:b/>
          <w:color w:val="000000" w:themeColor="text1"/>
          <w:sz w:val="22"/>
          <w:szCs w:val="22"/>
        </w:rPr>
        <w:t>people</w:t>
      </w:r>
      <w:proofErr w:type="spellEnd"/>
      <w:r w:rsidR="00DC30AB">
        <w:rPr>
          <w:rFonts w:ascii="Cambria" w:hAnsi="Cambria"/>
          <w:b/>
          <w:color w:val="000000" w:themeColor="text1"/>
          <w:sz w:val="22"/>
          <w:szCs w:val="22"/>
        </w:rPr>
        <w:t xml:space="preserve"> and INPUD</w:t>
      </w:r>
    </w:p>
    <w:p w14:paraId="60826161" w14:textId="77777777" w:rsidR="0051066F" w:rsidRPr="007A6182" w:rsidRDefault="0051066F" w:rsidP="0051066F">
      <w:pPr>
        <w:rPr>
          <w:rFonts w:ascii="Cambria" w:hAnsi="Cambria"/>
          <w:color w:val="000000" w:themeColor="text1"/>
          <w:sz w:val="22"/>
          <w:szCs w:val="22"/>
        </w:rPr>
      </w:pPr>
    </w:p>
    <w:p w14:paraId="62E61EBF" w14:textId="4786FA9E" w:rsidR="0051066F" w:rsidRDefault="00FB7BD6" w:rsidP="0051066F">
      <w:pPr>
        <w:rPr>
          <w:rFonts w:ascii="Cambria" w:hAnsi="Cambria" w:cs="Calibri"/>
          <w:sz w:val="22"/>
          <w:szCs w:val="22"/>
        </w:rPr>
      </w:pPr>
      <w:proofErr w:type="spellStart"/>
      <w:r w:rsidRPr="00DC30AB">
        <w:rPr>
          <w:rFonts w:ascii="Cambria" w:hAnsi="Cambria" w:cs="Calibri"/>
          <w:b/>
          <w:sz w:val="22"/>
          <w:szCs w:val="22"/>
        </w:rPr>
        <w:t>TB</w:t>
      </w:r>
      <w:r w:rsidR="009D36E8" w:rsidRPr="00DC30AB">
        <w:rPr>
          <w:rFonts w:ascii="Cambria" w:hAnsi="Cambria" w:cs="Calibri"/>
          <w:b/>
          <w:sz w:val="22"/>
          <w:szCs w:val="22"/>
        </w:rPr>
        <w:t>people</w:t>
      </w:r>
      <w:proofErr w:type="spellEnd"/>
      <w:r w:rsidRPr="00FB7BD6">
        <w:rPr>
          <w:rFonts w:ascii="Cambria" w:hAnsi="Cambria" w:cs="Calibri"/>
          <w:sz w:val="22"/>
          <w:szCs w:val="22"/>
        </w:rPr>
        <w:t xml:space="preserve"> is the global network of people affected by TB. Started in 2016, the network is driven by its vision, </w:t>
      </w:r>
      <w:r w:rsidRPr="00FB7BD6">
        <w:rPr>
          <w:rFonts w:ascii="Cambria" w:hAnsi="Cambria" w:cs="Calibri"/>
          <w:i/>
          <w:sz w:val="22"/>
          <w:szCs w:val="22"/>
        </w:rPr>
        <w:t xml:space="preserve">World Free Of TB, </w:t>
      </w:r>
      <w:r w:rsidRPr="00FB7BD6">
        <w:rPr>
          <w:rFonts w:ascii="Cambria" w:hAnsi="Cambria" w:cs="Calibri"/>
          <w:sz w:val="22"/>
          <w:szCs w:val="22"/>
        </w:rPr>
        <w:t xml:space="preserve">and its mission, </w:t>
      </w:r>
      <w:r w:rsidRPr="00FB7BD6">
        <w:rPr>
          <w:rFonts w:ascii="Cambria" w:hAnsi="Cambria" w:cs="Calibri"/>
          <w:i/>
          <w:sz w:val="22"/>
          <w:szCs w:val="22"/>
        </w:rPr>
        <w:t>Unite People, Defeat TB</w:t>
      </w:r>
      <w:r w:rsidRPr="00FB7BD6">
        <w:rPr>
          <w:rFonts w:ascii="Cambria" w:hAnsi="Cambria" w:cs="Calibri"/>
          <w:sz w:val="22"/>
          <w:szCs w:val="22"/>
        </w:rPr>
        <w:t xml:space="preserve">. </w:t>
      </w:r>
      <w:r>
        <w:rPr>
          <w:rFonts w:ascii="Cambria" w:hAnsi="Cambria" w:cs="Calibri"/>
          <w:sz w:val="22"/>
          <w:szCs w:val="22"/>
        </w:rPr>
        <w:t xml:space="preserve">In 2019, </w:t>
      </w:r>
      <w:proofErr w:type="spellStart"/>
      <w:r>
        <w:rPr>
          <w:rFonts w:ascii="Cambria" w:hAnsi="Cambria" w:cs="Calibri"/>
          <w:sz w:val="22"/>
          <w:szCs w:val="22"/>
        </w:rPr>
        <w:t>TB</w:t>
      </w:r>
      <w:r w:rsidR="009D36E8">
        <w:rPr>
          <w:rFonts w:ascii="Cambria" w:hAnsi="Cambria" w:cs="Calibri"/>
          <w:sz w:val="22"/>
          <w:szCs w:val="22"/>
        </w:rPr>
        <w:t>people</w:t>
      </w:r>
      <w:proofErr w:type="spellEnd"/>
      <w:r>
        <w:rPr>
          <w:rFonts w:ascii="Cambria" w:hAnsi="Cambria" w:cs="Calibri"/>
          <w:sz w:val="22"/>
          <w:szCs w:val="22"/>
        </w:rPr>
        <w:t xml:space="preserve"> proudly received the Stop TB Partnership’s Empowering Community Voices Award for its dedication to TB survivors and people affected by TB through community mobilization and human rights advocacy. </w:t>
      </w:r>
    </w:p>
    <w:p w14:paraId="713FA307" w14:textId="315E3F40" w:rsidR="00302431" w:rsidRDefault="00302431" w:rsidP="0051066F">
      <w:pPr>
        <w:rPr>
          <w:rFonts w:ascii="Cambria" w:hAnsi="Cambria" w:cs="Calibri"/>
          <w:sz w:val="22"/>
          <w:szCs w:val="22"/>
        </w:rPr>
      </w:pPr>
    </w:p>
    <w:p w14:paraId="5EFDEAFD" w14:textId="35629E02" w:rsidR="00AE4746" w:rsidRPr="007A6182" w:rsidRDefault="00302431" w:rsidP="00AE4746">
      <w:pPr>
        <w:rPr>
          <w:rFonts w:ascii="Cambria" w:hAnsi="Cambria"/>
          <w:color w:val="000000" w:themeColor="text1"/>
          <w:sz w:val="22"/>
          <w:szCs w:val="22"/>
        </w:rPr>
      </w:pPr>
      <w:r w:rsidRPr="00DC30AB">
        <w:rPr>
          <w:b/>
          <w:bCs/>
          <w:sz w:val="22"/>
          <w:szCs w:val="22"/>
        </w:rPr>
        <w:t>The International Network of People who Use Drugs (INPUD)</w:t>
      </w:r>
      <w:r w:rsidRPr="00DC30AB">
        <w:rPr>
          <w:sz w:val="22"/>
          <w:szCs w:val="22"/>
        </w:rPr>
        <w:t xml:space="preserve"> is a global peer-based </w:t>
      </w:r>
      <w:proofErr w:type="spellStart"/>
      <w:r w:rsidRPr="00DC30AB">
        <w:rPr>
          <w:sz w:val="22"/>
          <w:szCs w:val="22"/>
        </w:rPr>
        <w:t>organisation</w:t>
      </w:r>
      <w:proofErr w:type="spellEnd"/>
      <w:r w:rsidRPr="00DC30AB">
        <w:rPr>
          <w:sz w:val="22"/>
          <w:szCs w:val="22"/>
        </w:rPr>
        <w:t xml:space="preserve"> that seeks to promote the health and defend the rights of people who use drugs, by </w:t>
      </w:r>
      <w:r w:rsidRPr="00DC30AB">
        <w:rPr>
          <w:rFonts w:ascii="Cambria" w:hAnsi="Cambria" w:cs="Calibri"/>
          <w:sz w:val="22"/>
          <w:szCs w:val="22"/>
        </w:rPr>
        <w:t xml:space="preserve">challenging stigma, discrimination, and the oppression and </w:t>
      </w:r>
      <w:proofErr w:type="spellStart"/>
      <w:r w:rsidRPr="00DC30AB">
        <w:rPr>
          <w:rFonts w:ascii="Cambria" w:hAnsi="Cambria" w:cs="Calibri"/>
          <w:sz w:val="22"/>
          <w:szCs w:val="22"/>
        </w:rPr>
        <w:t>criminalisation</w:t>
      </w:r>
      <w:proofErr w:type="spellEnd"/>
      <w:r w:rsidRPr="00DC30AB">
        <w:rPr>
          <w:rFonts w:ascii="Cambria" w:hAnsi="Cambria" w:cs="Calibri"/>
          <w:sz w:val="22"/>
          <w:szCs w:val="22"/>
        </w:rPr>
        <w:t xml:space="preserve"> of people who use drugs and its impact on the drug-using community’s health and rights. </w:t>
      </w:r>
    </w:p>
    <w:sectPr w:rsidR="00AE4746" w:rsidRPr="007A6182" w:rsidSect="0051066F">
      <w:footerReference w:type="default" r:id="rId10"/>
      <w:footerReference w:type="first" r:id="rId11"/>
      <w:pgSz w:w="12240" w:h="15840" w:code="1"/>
      <w:pgMar w:top="1154" w:right="1080" w:bottom="805" w:left="1080" w:header="864" w:footer="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4476" w14:textId="77777777" w:rsidR="00CC355B" w:rsidRDefault="00CC355B">
      <w:r>
        <w:separator/>
      </w:r>
    </w:p>
  </w:endnote>
  <w:endnote w:type="continuationSeparator" w:id="0">
    <w:p w14:paraId="006DADCC" w14:textId="77777777" w:rsidR="00CC355B" w:rsidRDefault="00CC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62E92" w14:textId="77777777" w:rsidR="002D08DD" w:rsidRDefault="00F624DA" w:rsidP="0051066F">
    <w:pPr>
      <w:pStyle w:val="Footer"/>
      <w:ind w:left="0" w:right="15"/>
    </w:pPr>
    <w:r>
      <w:t xml:space="preserve">Page </w:t>
    </w:r>
    <w:r w:rsidR="001E49D8">
      <w:rPr>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42BC" w14:textId="77777777" w:rsidR="006539D2" w:rsidRPr="002F4C63" w:rsidRDefault="006235EC" w:rsidP="0051066F">
    <w:pPr>
      <w:pStyle w:val="Footer"/>
      <w:ind w:left="0" w:right="15"/>
      <w:jc w:val="center"/>
      <w:rPr>
        <w:color w:val="auto"/>
        <w:sz w:val="16"/>
        <w:szCs w:val="16"/>
      </w:rPr>
    </w:pPr>
    <w:r>
      <w:rPr>
        <w:color w:val="auto"/>
        <w:sz w:val="16"/>
        <w:szCs w:val="16"/>
        <w:shd w:val="clear" w:color="auto" w:fill="FFFFFF"/>
      </w:rPr>
      <w:t>TBpeople</w:t>
    </w:r>
    <w:r w:rsidR="006539D2" w:rsidRPr="002F4C63">
      <w:rPr>
        <w:color w:val="auto"/>
        <w:sz w:val="16"/>
        <w:szCs w:val="16"/>
        <w:shd w:val="clear" w:color="auto" w:fill="FFFFFF"/>
      </w:rPr>
      <w:t xml:space="preserve"> Ltd is registered in England and Wales (Compa</w:t>
    </w:r>
    <w:r>
      <w:rPr>
        <w:color w:val="auto"/>
        <w:sz w:val="16"/>
        <w:szCs w:val="16"/>
        <w:shd w:val="clear" w:color="auto" w:fill="FFFFFF"/>
      </w:rPr>
      <w:t xml:space="preserve">ny registration number </w:t>
    </w:r>
    <w:r w:rsidRPr="006235EC">
      <w:rPr>
        <w:color w:val="auto"/>
        <w:sz w:val="16"/>
        <w:szCs w:val="16"/>
      </w:rPr>
      <w:t>11355399</w:t>
    </w:r>
    <w:r>
      <w:rPr>
        <w:color w:val="auto"/>
        <w:sz w:val="16"/>
        <w:szCs w:val="16"/>
        <w:shd w:val="clear" w:color="auto" w:fill="FFFFFF"/>
      </w:rPr>
      <w:t>)</w:t>
    </w:r>
  </w:p>
  <w:p w14:paraId="7A8ECEE8" w14:textId="77777777" w:rsidR="006539D2" w:rsidRDefault="006539D2" w:rsidP="0051066F">
    <w:pPr>
      <w:pStyle w:val="Footer"/>
      <w:ind w:left="0" w:right="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8232" w14:textId="77777777" w:rsidR="00CC355B" w:rsidRDefault="00CC355B">
      <w:r>
        <w:separator/>
      </w:r>
    </w:p>
  </w:footnote>
  <w:footnote w:type="continuationSeparator" w:id="0">
    <w:p w14:paraId="0BDE7C4B" w14:textId="77777777" w:rsidR="00CC355B" w:rsidRDefault="00CC3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5350E"/>
    <w:multiLevelType w:val="hybridMultilevel"/>
    <w:tmpl w:val="6B38CD46"/>
    <w:lvl w:ilvl="0" w:tplc="E30E24C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7E7064"/>
    <w:multiLevelType w:val="hybridMultilevel"/>
    <w:tmpl w:val="CAB4E8C2"/>
    <w:lvl w:ilvl="0" w:tplc="746CCD0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5128B"/>
    <w:multiLevelType w:val="hybridMultilevel"/>
    <w:tmpl w:val="E0363A94"/>
    <w:lvl w:ilvl="0" w:tplc="2FA404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D0E41"/>
    <w:multiLevelType w:val="hybridMultilevel"/>
    <w:tmpl w:val="8CAC1998"/>
    <w:lvl w:ilvl="0" w:tplc="BA8407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D2"/>
    <w:rsid w:val="000175D0"/>
    <w:rsid w:val="00033E94"/>
    <w:rsid w:val="00082934"/>
    <w:rsid w:val="000B7B22"/>
    <w:rsid w:val="000D5CD3"/>
    <w:rsid w:val="0013570F"/>
    <w:rsid w:val="00135A80"/>
    <w:rsid w:val="001438AE"/>
    <w:rsid w:val="00152FA4"/>
    <w:rsid w:val="00171F78"/>
    <w:rsid w:val="00177CD4"/>
    <w:rsid w:val="001A6A2B"/>
    <w:rsid w:val="001D6CF3"/>
    <w:rsid w:val="001E49D8"/>
    <w:rsid w:val="00227050"/>
    <w:rsid w:val="0026396C"/>
    <w:rsid w:val="002D08DD"/>
    <w:rsid w:val="002D6119"/>
    <w:rsid w:val="002F3048"/>
    <w:rsid w:val="002F4C63"/>
    <w:rsid w:val="00302431"/>
    <w:rsid w:val="00391223"/>
    <w:rsid w:val="003A22B9"/>
    <w:rsid w:val="003B475B"/>
    <w:rsid w:val="003C30C1"/>
    <w:rsid w:val="003D77E1"/>
    <w:rsid w:val="003E3E66"/>
    <w:rsid w:val="00475762"/>
    <w:rsid w:val="004C075F"/>
    <w:rsid w:val="004C4C9E"/>
    <w:rsid w:val="004F4580"/>
    <w:rsid w:val="0051066F"/>
    <w:rsid w:val="005A2A8E"/>
    <w:rsid w:val="005A55ED"/>
    <w:rsid w:val="005F7EC5"/>
    <w:rsid w:val="006235EC"/>
    <w:rsid w:val="006321E6"/>
    <w:rsid w:val="006539D2"/>
    <w:rsid w:val="00685C2C"/>
    <w:rsid w:val="006A2501"/>
    <w:rsid w:val="006A5C56"/>
    <w:rsid w:val="006F102A"/>
    <w:rsid w:val="0071503D"/>
    <w:rsid w:val="00722AA0"/>
    <w:rsid w:val="007322DF"/>
    <w:rsid w:val="0074206F"/>
    <w:rsid w:val="007A6182"/>
    <w:rsid w:val="008150CD"/>
    <w:rsid w:val="00822DDA"/>
    <w:rsid w:val="00862577"/>
    <w:rsid w:val="00874341"/>
    <w:rsid w:val="008A170D"/>
    <w:rsid w:val="008C0A55"/>
    <w:rsid w:val="009608BE"/>
    <w:rsid w:val="009672D0"/>
    <w:rsid w:val="009746CC"/>
    <w:rsid w:val="00997A4B"/>
    <w:rsid w:val="009D36E8"/>
    <w:rsid w:val="009F7D5C"/>
    <w:rsid w:val="00A22709"/>
    <w:rsid w:val="00A70013"/>
    <w:rsid w:val="00A93401"/>
    <w:rsid w:val="00AB1495"/>
    <w:rsid w:val="00AD7508"/>
    <w:rsid w:val="00AE4746"/>
    <w:rsid w:val="00AE4E8E"/>
    <w:rsid w:val="00AF20F6"/>
    <w:rsid w:val="00B106DB"/>
    <w:rsid w:val="00B54E8F"/>
    <w:rsid w:val="00BE18FE"/>
    <w:rsid w:val="00C05AF6"/>
    <w:rsid w:val="00C44127"/>
    <w:rsid w:val="00CA0B14"/>
    <w:rsid w:val="00CC355B"/>
    <w:rsid w:val="00CE6AFD"/>
    <w:rsid w:val="00CF6CAC"/>
    <w:rsid w:val="00DB2BB1"/>
    <w:rsid w:val="00DC30AB"/>
    <w:rsid w:val="00E04F1D"/>
    <w:rsid w:val="00E96B40"/>
    <w:rsid w:val="00EC0AD1"/>
    <w:rsid w:val="00ED59D8"/>
    <w:rsid w:val="00F624DA"/>
    <w:rsid w:val="00F66B8B"/>
    <w:rsid w:val="00FB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0B53D"/>
  <w15:chartTrackingRefBased/>
  <w15:docId w15:val="{7D510308-6D88-47DD-B013-3A92600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F6"/>
    <w:pPr>
      <w:spacing w:before="0"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unhideWhenUsed/>
    <w:qFormat/>
    <w:pPr>
      <w:pageBreakBefore/>
      <w:spacing w:after="360"/>
      <w:ind w:left="-360" w:right="-360"/>
      <w:outlineLvl w:val="0"/>
    </w:pPr>
    <w:rPr>
      <w:rFonts w:asciiTheme="majorHAnsi" w:eastAsiaTheme="majorEastAsia" w:hAnsiTheme="majorHAnsi" w:cstheme="majorBidi"/>
      <w:color w:val="595959" w:themeColor="text1" w:themeTint="A6"/>
      <w:kern w:val="20"/>
      <w:sz w:val="36"/>
      <w:szCs w:val="20"/>
      <w:lang w:eastAsia="ja-JP"/>
    </w:rPr>
  </w:style>
  <w:style w:type="paragraph" w:styleId="Heading2">
    <w:name w:val="heading 2"/>
    <w:basedOn w:val="Normal"/>
    <w:next w:val="Normal"/>
    <w:link w:val="Heading2Char"/>
    <w:uiPriority w:val="9"/>
    <w:unhideWhenUsed/>
    <w:qFormat/>
    <w:pPr>
      <w:keepNext/>
      <w:keepLines/>
      <w:spacing w:before="360" w:after="60"/>
      <w:outlineLvl w:val="1"/>
    </w:pPr>
    <w:rPr>
      <w:rFonts w:asciiTheme="majorHAnsi" w:eastAsiaTheme="majorEastAsia" w:hAnsiTheme="majorHAnsi" w:cstheme="majorBidi"/>
      <w:caps/>
      <w:color w:val="577188" w:themeColor="accent1" w:themeShade="BF"/>
      <w:kern w:val="20"/>
      <w:szCs w:val="20"/>
      <w:lang w:eastAsia="ja-JP"/>
      <w14:ligatures w14:val="standardContextual"/>
    </w:rPr>
  </w:style>
  <w:style w:type="paragraph" w:styleId="Heading3">
    <w:name w:val="heading 3"/>
    <w:basedOn w:val="Normal"/>
    <w:next w:val="Normal"/>
    <w:link w:val="Heading3Char"/>
    <w:uiPriority w:val="9"/>
    <w:unhideWhenUsed/>
    <w:qFormat/>
    <w:pPr>
      <w:keepNext/>
      <w:keepLines/>
      <w:spacing w:before="200" w:line="288" w:lineRule="auto"/>
      <w:outlineLvl w:val="2"/>
    </w:pPr>
    <w:rPr>
      <w:rFonts w:asciiTheme="majorHAnsi" w:eastAsiaTheme="majorEastAsia" w:hAnsiTheme="majorHAnsi" w:cstheme="majorBidi"/>
      <w:b/>
      <w:bCs/>
      <w:color w:val="7E97AD" w:themeColor="accent1"/>
      <w:kern w:val="20"/>
      <w:sz w:val="20"/>
      <w:szCs w:val="20"/>
      <w:lang w:eastAsia="ja-JP"/>
      <w14:ligatures w14:val="standardContextual"/>
    </w:rPr>
  </w:style>
  <w:style w:type="paragraph" w:styleId="Heading4">
    <w:name w:val="heading 4"/>
    <w:basedOn w:val="Normal"/>
    <w:next w:val="Normal"/>
    <w:link w:val="Heading4Char"/>
    <w:uiPriority w:val="9"/>
    <w:semiHidden/>
    <w:unhideWhenUsed/>
    <w:qFormat/>
    <w:pPr>
      <w:keepNext/>
      <w:keepLines/>
      <w:spacing w:before="200" w:line="288" w:lineRule="auto"/>
      <w:outlineLvl w:val="3"/>
    </w:pPr>
    <w:rPr>
      <w:rFonts w:asciiTheme="majorHAnsi" w:eastAsiaTheme="majorEastAsia" w:hAnsiTheme="majorHAnsi" w:cstheme="majorBidi"/>
      <w:b/>
      <w:bCs/>
      <w:i/>
      <w:iCs/>
      <w:color w:val="7E97AD" w:themeColor="accent1"/>
      <w:kern w:val="20"/>
      <w:sz w:val="20"/>
      <w:szCs w:val="20"/>
      <w:lang w:eastAsia="ja-JP"/>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before="40"/>
    </w:pPr>
    <w:rPr>
      <w:rFonts w:asciiTheme="minorHAnsi" w:hAnsiTheme="minorHAnsi" w:cstheme="minorBidi"/>
      <w:color w:val="595959" w:themeColor="text1" w:themeTint="A6"/>
      <w:kern w:val="20"/>
      <w:sz w:val="20"/>
      <w:szCs w:val="20"/>
      <w:lang w:eastAsia="ja-JP"/>
    </w:r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before="40"/>
      <w:ind w:left="-360" w:right="-360"/>
    </w:pPr>
    <w:rPr>
      <w:rFonts w:asciiTheme="minorHAnsi" w:hAnsiTheme="minorHAnsi" w:cstheme="minorBidi"/>
      <w:color w:val="595959" w:themeColor="text1" w:themeTint="A6"/>
      <w:kern w:val="20"/>
      <w:sz w:val="20"/>
      <w:szCs w:val="20"/>
      <w:lang w:eastAsia="ja-JP"/>
    </w:r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line="288" w:lineRule="auto"/>
    </w:pPr>
    <w:rPr>
      <w:rFonts w:asciiTheme="majorHAnsi" w:eastAsiaTheme="majorEastAsia" w:hAnsiTheme="majorHAnsi" w:cstheme="majorBidi"/>
      <w:caps/>
      <w:color w:val="577188" w:themeColor="accent1" w:themeShade="BF"/>
      <w:kern w:val="20"/>
      <w:sz w:val="20"/>
      <w:szCs w:val="20"/>
      <w:lang w:eastAsia="ja-JP"/>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before="40" w:after="40" w:line="288" w:lineRule="auto"/>
    </w:pPr>
    <w:rPr>
      <w:rFonts w:asciiTheme="minorHAnsi" w:hAnsiTheme="minorHAnsi" w:cstheme="minorBidi"/>
      <w:b/>
      <w:bCs/>
      <w:color w:val="595959" w:themeColor="text1" w:themeTint="A6"/>
      <w:kern w:val="20"/>
      <w:sz w:val="20"/>
      <w:szCs w:val="20"/>
      <w:lang w:eastAsia="ja-JP"/>
    </w:rPr>
  </w:style>
  <w:style w:type="paragraph" w:styleId="Salutation">
    <w:name w:val="Salutation"/>
    <w:basedOn w:val="Normal"/>
    <w:next w:val="Normal"/>
    <w:link w:val="SalutationChar"/>
    <w:uiPriority w:val="1"/>
    <w:unhideWhenUsed/>
    <w:qFormat/>
    <w:pPr>
      <w:spacing w:before="720" w:after="160" w:line="288" w:lineRule="auto"/>
    </w:pPr>
    <w:rPr>
      <w:rFonts w:asciiTheme="minorHAnsi" w:hAnsiTheme="minorHAnsi" w:cstheme="minorBidi"/>
      <w:color w:val="595959" w:themeColor="text1" w:themeTint="A6"/>
      <w:kern w:val="20"/>
      <w:sz w:val="20"/>
      <w:szCs w:val="20"/>
      <w:lang w:eastAsia="ja-JP"/>
    </w:r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pPr>
    <w:rPr>
      <w:rFonts w:asciiTheme="minorHAnsi" w:hAnsiTheme="minorHAnsi" w:cstheme="minorBidi"/>
      <w:color w:val="595959" w:themeColor="text1" w:themeTint="A6"/>
      <w:kern w:val="20"/>
      <w:sz w:val="20"/>
      <w:szCs w:val="20"/>
      <w:lang w:eastAsia="ja-JP"/>
    </w:r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pPr>
      <w:spacing w:before="40" w:after="160" w:line="288" w:lineRule="auto"/>
    </w:pPr>
    <w:rPr>
      <w:rFonts w:asciiTheme="minorHAnsi" w:hAnsiTheme="minorHAnsi" w:cstheme="minorBidi"/>
      <w:b/>
      <w:bCs/>
      <w:color w:val="595959" w:themeColor="text1" w:themeTint="A6"/>
      <w:kern w:val="20"/>
      <w:sz w:val="20"/>
      <w:szCs w:val="20"/>
      <w:lang w:eastAsia="ja-JP"/>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before="40" w:after="480" w:line="288" w:lineRule="auto"/>
    </w:pPr>
    <w:rPr>
      <w:rFonts w:asciiTheme="majorHAnsi" w:eastAsiaTheme="majorEastAsia" w:hAnsiTheme="majorHAnsi" w:cstheme="majorBidi"/>
      <w:caps/>
      <w:color w:val="577188" w:themeColor="accent1" w:themeShade="BF"/>
      <w:kern w:val="20"/>
      <w:sz w:val="20"/>
      <w:szCs w:val="20"/>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character" w:styleId="Hyperlink">
    <w:name w:val="Hyperlink"/>
    <w:basedOn w:val="DefaultParagraphFont"/>
    <w:uiPriority w:val="99"/>
    <w:unhideWhenUsed/>
    <w:rsid w:val="006539D2"/>
    <w:rPr>
      <w:color w:val="0000FF"/>
      <w:u w:val="single"/>
    </w:rPr>
  </w:style>
  <w:style w:type="character" w:customStyle="1" w:styleId="UnresolvedMention1">
    <w:name w:val="Unresolved Mention1"/>
    <w:basedOn w:val="DefaultParagraphFont"/>
    <w:uiPriority w:val="99"/>
    <w:semiHidden/>
    <w:unhideWhenUsed/>
    <w:rsid w:val="00AE4746"/>
    <w:rPr>
      <w:color w:val="605E5C"/>
      <w:shd w:val="clear" w:color="auto" w:fill="E1DFDD"/>
    </w:rPr>
  </w:style>
  <w:style w:type="character" w:styleId="FollowedHyperlink">
    <w:name w:val="FollowedHyperlink"/>
    <w:basedOn w:val="DefaultParagraphFont"/>
    <w:uiPriority w:val="99"/>
    <w:semiHidden/>
    <w:unhideWhenUsed/>
    <w:rsid w:val="00BE18FE"/>
    <w:rPr>
      <w:color w:val="969696" w:themeColor="followedHyperlink"/>
      <w:u w:val="single"/>
    </w:rPr>
  </w:style>
  <w:style w:type="paragraph" w:styleId="ListParagraph">
    <w:name w:val="List Paragraph"/>
    <w:basedOn w:val="Normal"/>
    <w:uiPriority w:val="34"/>
    <w:qFormat/>
    <w:rsid w:val="0051066F"/>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1A6A2B"/>
    <w:rPr>
      <w:sz w:val="18"/>
      <w:szCs w:val="18"/>
    </w:rPr>
  </w:style>
  <w:style w:type="character" w:customStyle="1" w:styleId="BalloonTextChar">
    <w:name w:val="Balloon Text Char"/>
    <w:basedOn w:val="DefaultParagraphFont"/>
    <w:link w:val="BalloonText"/>
    <w:uiPriority w:val="99"/>
    <w:semiHidden/>
    <w:rsid w:val="001A6A2B"/>
    <w:rPr>
      <w:rFonts w:ascii="Times New Roman" w:hAnsi="Times New Roman" w:cs="Times New Roman"/>
      <w:color w:val="auto"/>
      <w:sz w:val="18"/>
      <w:szCs w:val="18"/>
      <w:lang w:eastAsia="en-US"/>
    </w:rPr>
  </w:style>
  <w:style w:type="character" w:styleId="Strong">
    <w:name w:val="Strong"/>
    <w:basedOn w:val="DefaultParagraphFont"/>
    <w:uiPriority w:val="22"/>
    <w:qFormat/>
    <w:rsid w:val="00302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830C688B834F29A3C2C7E7C66A67AA"/>
        <w:category>
          <w:name w:val="General"/>
          <w:gallery w:val="placeholder"/>
        </w:category>
        <w:types>
          <w:type w:val="bbPlcHdr"/>
        </w:types>
        <w:behaviors>
          <w:behavior w:val="content"/>
        </w:behaviors>
        <w:guid w:val="{D27E0F48-8132-4061-AFDA-D729194D46EC}"/>
      </w:docPartPr>
      <w:docPartBody>
        <w:p w:rsidR="00F2412F" w:rsidRDefault="00EA79C0">
          <w:pPr>
            <w:pStyle w:val="E8830C688B834F29A3C2C7E7C66A67AA"/>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D3"/>
    <w:rsid w:val="00051DA6"/>
    <w:rsid w:val="0039640D"/>
    <w:rsid w:val="004E3D1C"/>
    <w:rsid w:val="004F30D4"/>
    <w:rsid w:val="006647F8"/>
    <w:rsid w:val="0067227E"/>
    <w:rsid w:val="00775F61"/>
    <w:rsid w:val="00884ED3"/>
    <w:rsid w:val="008E099F"/>
    <w:rsid w:val="00902442"/>
    <w:rsid w:val="0092105E"/>
    <w:rsid w:val="00A34AE1"/>
    <w:rsid w:val="00CB1F7F"/>
    <w:rsid w:val="00E06D7E"/>
    <w:rsid w:val="00E13DC7"/>
    <w:rsid w:val="00EA79C0"/>
    <w:rsid w:val="00F2412F"/>
    <w:rsid w:val="00FE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30C688B834F29A3C2C7E7C66A67AA">
    <w:name w:val="E8830C688B834F29A3C2C7E7C66A67AA"/>
  </w:style>
  <w:style w:type="paragraph" w:customStyle="1" w:styleId="9AB3281B12004C32A4476772A011DF9D">
    <w:name w:val="9AB3281B12004C32A4476772A011DF9D"/>
  </w:style>
  <w:style w:type="paragraph" w:customStyle="1" w:styleId="C22A2F2B19DF45C0AEA7119E16592D28">
    <w:name w:val="C22A2F2B19DF45C0AEA7119E16592D28"/>
  </w:style>
  <w:style w:type="paragraph" w:customStyle="1" w:styleId="01726C4FEACE4FCCB6DC895A028349AD">
    <w:name w:val="01726C4FEACE4FCCB6DC895A028349AD"/>
  </w:style>
  <w:style w:type="paragraph" w:customStyle="1" w:styleId="76026EFD142D49F59E4C5A0119E75E26">
    <w:name w:val="76026EFD142D49F59E4C5A0119E75E26"/>
  </w:style>
  <w:style w:type="paragraph" w:customStyle="1" w:styleId="B7FC4D3B4B3B49618A106AE131920458">
    <w:name w:val="B7FC4D3B4B3B49618A106AE131920458"/>
  </w:style>
  <w:style w:type="paragraph" w:customStyle="1" w:styleId="A3F561CF1B394FC698373A3E421CFE40">
    <w:name w:val="A3F561CF1B394FC698373A3E421CFE40"/>
  </w:style>
  <w:style w:type="paragraph" w:customStyle="1" w:styleId="182DBB33E9D94BEE90E54E38D6CE9C1F">
    <w:name w:val="182DBB33E9D94BEE90E54E38D6CE9C1F"/>
  </w:style>
  <w:style w:type="paragraph" w:customStyle="1" w:styleId="1EA3D2B163A84457B59DAB8D307451C5">
    <w:name w:val="1EA3D2B163A84457B59DAB8D307451C5"/>
  </w:style>
  <w:style w:type="paragraph" w:customStyle="1" w:styleId="E8956DEB2CE440FE8DFF2802323F90F8">
    <w:name w:val="E8956DEB2CE440FE8DFF2802323F90F8"/>
  </w:style>
  <w:style w:type="paragraph" w:customStyle="1" w:styleId="A970224F135347C9B46E26E5788AABC3">
    <w:name w:val="A970224F135347C9B46E26E5788AABC3"/>
  </w:style>
  <w:style w:type="paragraph" w:customStyle="1" w:styleId="1DC882E395E64B9786696FD4042E97FA">
    <w:name w:val="1DC882E395E64B9786696FD4042E97FA"/>
  </w:style>
  <w:style w:type="paragraph" w:customStyle="1" w:styleId="406990256E854AC4B131DEB9B7D61AEC">
    <w:name w:val="406990256E854AC4B131DEB9B7D61AEC"/>
  </w:style>
  <w:style w:type="paragraph" w:customStyle="1" w:styleId="F286117B4DD54F7BA190F40FED578AB1">
    <w:name w:val="F286117B4DD54F7BA190F40FED578AB1"/>
    <w:rsid w:val="00884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7F216A1A-1C43-443B-8ED7-1A415C322584}">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4233</Words>
  <Characters>2414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 Abdullaev</dc:creator>
  <cp:keywords/>
  <cp:lastModifiedBy>Alina Storozhuk</cp:lastModifiedBy>
  <cp:revision>2</cp:revision>
  <cp:lastPrinted>2020-07-11T10:03:00Z</cp:lastPrinted>
  <dcterms:created xsi:type="dcterms:W3CDTF">2020-09-17T10:33:00Z</dcterms:created>
  <dcterms:modified xsi:type="dcterms:W3CDTF">2020-09-17T10:33:00Z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